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86253" w14:textId="142F0533" w:rsidR="00067C61" w:rsidRPr="00067C61" w:rsidRDefault="00067C61" w:rsidP="00067C61">
      <w:pPr>
        <w:tabs>
          <w:tab w:val="left" w:pos="1800"/>
          <w:tab w:val="right" w:pos="9360"/>
        </w:tabs>
        <w:spacing w:after="0"/>
        <w:textAlignment w:val="auto"/>
        <w:rPr>
          <w:b/>
          <w:highlight w:val="yellow"/>
          <w:lang w:val="en-US"/>
        </w:rPr>
      </w:pPr>
      <w:bookmarkStart w:id="0" w:name="_Hlk489988649"/>
      <w:bookmarkEnd w:id="0"/>
      <w:r w:rsidRPr="00067C61">
        <w:rPr>
          <w:b/>
          <w:lang w:val="en-US"/>
        </w:rPr>
        <w:t>3GPP TSG-RAN WG1 NR Ad Hoc #3</w:t>
      </w:r>
      <w:r w:rsidRPr="00067C61">
        <w:rPr>
          <w:b/>
          <w:lang w:val="en-US"/>
        </w:rPr>
        <w:tab/>
      </w:r>
      <w:r w:rsidRPr="008B2BF7">
        <w:rPr>
          <w:b/>
          <w:lang w:val="en-US"/>
        </w:rPr>
        <w:t>R1-171</w:t>
      </w:r>
      <w:r w:rsidR="008B2BF7" w:rsidRPr="008B2BF7">
        <w:rPr>
          <w:b/>
          <w:lang w:val="en-US"/>
        </w:rPr>
        <w:t>6376</w:t>
      </w:r>
    </w:p>
    <w:p w14:paraId="51D0E63D" w14:textId="77777777" w:rsidR="00067C61" w:rsidRPr="00067C61" w:rsidRDefault="00067C61" w:rsidP="00067C61">
      <w:pPr>
        <w:tabs>
          <w:tab w:val="left" w:pos="1800"/>
          <w:tab w:val="right" w:pos="9360"/>
        </w:tabs>
        <w:spacing w:after="0"/>
        <w:textAlignment w:val="auto"/>
        <w:rPr>
          <w:b/>
          <w:lang w:val="en-US"/>
        </w:rPr>
      </w:pPr>
      <w:r w:rsidRPr="00067C61">
        <w:rPr>
          <w:b/>
          <w:lang w:val="en-US"/>
        </w:rPr>
        <w:t>Nagoya, Japan, 18th – 21st, September 2017</w:t>
      </w:r>
    </w:p>
    <w:p w14:paraId="561D9511" w14:textId="77777777" w:rsidR="00067C61" w:rsidRPr="00067C61" w:rsidRDefault="00067C61" w:rsidP="00067C61">
      <w:pPr>
        <w:tabs>
          <w:tab w:val="left" w:pos="1800"/>
          <w:tab w:val="right" w:pos="9360"/>
        </w:tabs>
        <w:spacing w:after="0"/>
        <w:textAlignment w:val="auto"/>
        <w:rPr>
          <w:b/>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56AB85A5" w14:textId="21BE956D" w:rsidR="00067C61" w:rsidRPr="00067C61" w:rsidRDefault="00067C61" w:rsidP="00067C61">
      <w:pPr>
        <w:tabs>
          <w:tab w:val="left" w:pos="1800"/>
          <w:tab w:val="right" w:pos="9360"/>
        </w:tabs>
        <w:spacing w:after="0"/>
        <w:textAlignment w:val="auto"/>
        <w:rPr>
          <w:b/>
        </w:rPr>
      </w:pPr>
      <w:r w:rsidRPr="00067C61">
        <w:rPr>
          <w:b/>
        </w:rPr>
        <w:t>Title:</w:t>
      </w:r>
      <w:r w:rsidRPr="00067C61">
        <w:rPr>
          <w:b/>
        </w:rPr>
        <w:tab/>
      </w:r>
      <w:r w:rsidR="00447DC9">
        <w:rPr>
          <w:b/>
        </w:rPr>
        <w:t>Remaining details on QCL</w:t>
      </w:r>
    </w:p>
    <w:p w14:paraId="0D32E023" w14:textId="4849DA89" w:rsidR="00067C61" w:rsidRPr="00067C61" w:rsidRDefault="00067C61" w:rsidP="00067C61">
      <w:pPr>
        <w:tabs>
          <w:tab w:val="left" w:pos="1800"/>
          <w:tab w:val="right" w:pos="9360"/>
        </w:tabs>
        <w:spacing w:after="0"/>
        <w:textAlignment w:val="auto"/>
        <w:rPr>
          <w:b/>
        </w:rPr>
      </w:pPr>
      <w:r w:rsidRPr="00067C61">
        <w:rPr>
          <w:b/>
        </w:rPr>
        <w:t>Agenda Item:</w:t>
      </w:r>
      <w:r w:rsidRPr="00067C61">
        <w:rPr>
          <w:b/>
        </w:rPr>
        <w:tab/>
      </w:r>
      <w:r w:rsidRPr="00C6615A">
        <w:rPr>
          <w:b/>
        </w:rPr>
        <w:t>6.2.</w:t>
      </w:r>
      <w:r w:rsidR="00447DC9" w:rsidRPr="00C6615A">
        <w:rPr>
          <w:b/>
        </w:rPr>
        <w:t>3.7</w:t>
      </w:r>
    </w:p>
    <w:p w14:paraId="0650B70D" w14:textId="074F8EB7" w:rsidR="00E90E49" w:rsidRPr="00447DC9" w:rsidRDefault="00067C61" w:rsidP="00447DC9">
      <w:pPr>
        <w:tabs>
          <w:tab w:val="left" w:pos="1800"/>
          <w:tab w:val="right" w:pos="9360"/>
        </w:tabs>
        <w:spacing w:after="0"/>
        <w:textAlignment w:val="auto"/>
        <w:rPr>
          <w:b/>
        </w:rPr>
      </w:pPr>
      <w:r w:rsidRPr="00067C61">
        <w:rPr>
          <w:b/>
        </w:rPr>
        <w:t>Document for:</w:t>
      </w:r>
      <w:r w:rsidRPr="00067C61">
        <w:rPr>
          <w:b/>
        </w:rPr>
        <w:tab/>
        <w:t>Discussion and Decision</w:t>
      </w:r>
    </w:p>
    <w:p w14:paraId="618B1296" w14:textId="77777777" w:rsidR="00E90E49" w:rsidRPr="00CE0424" w:rsidRDefault="00E90E49" w:rsidP="00CE0424">
      <w:pPr>
        <w:pStyle w:val="Heading1"/>
      </w:pPr>
      <w:bookmarkStart w:id="1" w:name="_Ref492584551"/>
      <w:r w:rsidRPr="00CE0424">
        <w:t>Introduction</w:t>
      </w:r>
      <w:bookmarkEnd w:id="1"/>
    </w:p>
    <w:p w14:paraId="2F54EC6B" w14:textId="4DC2515C" w:rsidR="00477768" w:rsidRDefault="00C6615A" w:rsidP="003C7228">
      <w:pPr>
        <w:pStyle w:val="BodyText"/>
      </w:pPr>
      <w:r>
        <w:t>Some noteworthy observations related to QCL are:</w:t>
      </w:r>
    </w:p>
    <w:p w14:paraId="2AE75C8E" w14:textId="6F6E8CEF" w:rsidR="00C6615A" w:rsidRDefault="00C6615A" w:rsidP="00C6615A">
      <w:pPr>
        <w:pStyle w:val="BodyText"/>
        <w:numPr>
          <w:ilvl w:val="0"/>
          <w:numId w:val="17"/>
        </w:numPr>
      </w:pPr>
      <w:r>
        <w:t>Since TRS is UE specifically configured, there must be a</w:t>
      </w:r>
      <w:r w:rsidR="005548F9">
        <w:t>nother</w:t>
      </w:r>
      <w:r>
        <w:t xml:space="preserve"> default reference signal for QCL purpose prior to TRS configuration</w:t>
      </w:r>
    </w:p>
    <w:p w14:paraId="6B7E7670" w14:textId="62152236" w:rsidR="00C6615A" w:rsidRDefault="00C6615A" w:rsidP="00C6615A">
      <w:pPr>
        <w:pStyle w:val="BodyText"/>
        <w:numPr>
          <w:ilvl w:val="0"/>
          <w:numId w:val="17"/>
        </w:numPr>
      </w:pPr>
      <w:r>
        <w:t>Spatial QCL is useful when analog beamforming is adopted and can be an add-on to the “normal” QCL framework</w:t>
      </w:r>
    </w:p>
    <w:p w14:paraId="1C352262" w14:textId="0371A1BC" w:rsidR="00C6615A" w:rsidRDefault="00C6615A" w:rsidP="00C6615A">
      <w:pPr>
        <w:pStyle w:val="BodyText"/>
        <w:numPr>
          <w:ilvl w:val="0"/>
          <w:numId w:val="17"/>
        </w:numPr>
      </w:pPr>
      <w:r>
        <w:t>The LTE QCL framework is a good starting point where TRS can serve the purpose of CRS and where the “N-bit field” in DCI can serve the purpose of LTE PQI field</w:t>
      </w:r>
    </w:p>
    <w:p w14:paraId="7698EC0A" w14:textId="658B1663" w:rsidR="00C6615A" w:rsidRPr="00067C61" w:rsidRDefault="00C6615A" w:rsidP="00C6615A">
      <w:pPr>
        <w:pStyle w:val="BodyText"/>
      </w:pPr>
      <w:r>
        <w:t>Looking at the current QCL agreements it is a bit hard to get an overview of the p</w:t>
      </w:r>
      <w:r w:rsidR="006C2717">
        <w:t>urpose and thinking behind the</w:t>
      </w:r>
      <w:r>
        <w:t xml:space="preserve"> agreements. It would </w:t>
      </w:r>
      <w:r w:rsidR="006C2717">
        <w:t xml:space="preserve">be useful to first </w:t>
      </w:r>
      <w:r>
        <w:t xml:space="preserve">look at the scenarios and deployments to be supported and then derive the necessary QCL relations and configuration details based on these scenarios. In our </w:t>
      </w:r>
      <w:r w:rsidR="0086785A">
        <w:t>view, NR should support at least the same scenarios as LTE, the straightforward single TRP case as well as CoMP scenario 3/4 where the UE can dynamically receive transmission from either one or both TRPs.</w:t>
      </w:r>
    </w:p>
    <w:p w14:paraId="7B55CC55" w14:textId="3054B8AD" w:rsidR="006C2717" w:rsidRDefault="006C2717" w:rsidP="00CE0424">
      <w:pPr>
        <w:pStyle w:val="Heading1"/>
      </w:pPr>
      <w:bookmarkStart w:id="2" w:name="_Ref178064866"/>
      <w:r>
        <w:t>QCL for midband operation</w:t>
      </w:r>
      <w:r w:rsidR="00680FB1">
        <w:t xml:space="preserve"> (no spatial QCL indicated)</w:t>
      </w:r>
    </w:p>
    <w:p w14:paraId="3B23B190" w14:textId="7F66B253" w:rsidR="006C2717" w:rsidRDefault="006C2717" w:rsidP="006C2717">
      <w:r>
        <w:t xml:space="preserve">If we focus on the QCL relations without take the spatial QCL parameter into account, we can focus on the midband operation (e.g. 4 GHz). Last meeting the “PQI-like” indicator in DCI was agreed to be able to switch the DL RS which is QCL with a DMRS group when scheduling data. This then allows dynamic point selection and distributed MIMO operation. We denote this field a Transmission Configuration Indicator (TCI) and a table can then be configured where each entry in the table refers to one or two DL RSs. </w:t>
      </w:r>
    </w:p>
    <w:p w14:paraId="71EBC39A" w14:textId="05546529" w:rsidR="006C2717" w:rsidRDefault="0087275A" w:rsidP="006C2717">
      <w:r>
        <w:t xml:space="preserve">Hence, the TCI switch between RRC configured NZP CSI-RS resources for which </w:t>
      </w:r>
      <w:r w:rsidRPr="007D1944">
        <w:rPr>
          <w:b/>
        </w:rPr>
        <w:t>QCL Type A {Doppler shift, Doppler spread, average delay, delay spread}</w:t>
      </w:r>
      <w:r>
        <w:t xml:space="preserve"> holds between the selected NZP CSI-RS and the scheduled PDSCH DMRS. The multiple NZP CSI-RS are then transmitted from different TRPs, as to achieve LTE CoMP scenario 3 and 4 operation. </w:t>
      </w:r>
    </w:p>
    <w:p w14:paraId="4CF02361" w14:textId="272BD307" w:rsidR="0087275A" w:rsidRDefault="0087275A" w:rsidP="006C2717">
      <w:r>
        <w:t>Then, for PDCCH DMRS, a semi-static configuration per CORESET can be used</w:t>
      </w:r>
      <w:r w:rsidR="007D1944">
        <w:t xml:space="preserve"> (link L-1 in Figure 1)</w:t>
      </w:r>
      <w:r>
        <w:t xml:space="preserve">, where QCL Type A  holds between the configured NZP CSI-RS and all the PDCCH DMRS in that CORESET. Similar as for EPDCCH in LTE, dynamic point switching of control channel transmission can be achieved by using multiple CORESETs and associate different CORESETs with different NZP CSI-RSs. </w:t>
      </w:r>
    </w:p>
    <w:p w14:paraId="574B70C2" w14:textId="2BFB5CB7" w:rsidR="007D1944" w:rsidRDefault="007D1944" w:rsidP="006C2717">
      <w:r>
        <w:t xml:space="preserve">In addition, a TRS can be configured to the UE to assist in fine time and frequency tracking of the channel. It should be noted that NZP CSI-RS is in many configurations insufficient for performing adequate frequency offset estimation and even timing estimation if the CSI-RS bandwidth is too small and/or frequency granularity too sparse. Hence, TRS can be configured to take the role as CRS. The TRS and NZP CSI-RS </w:t>
      </w:r>
      <w:r w:rsidR="00FF1990">
        <w:t xml:space="preserve">(link L-3 in Figure 1) </w:t>
      </w:r>
      <w:r>
        <w:t xml:space="preserve">can then be QCL according to Type A or </w:t>
      </w:r>
      <w:r w:rsidRPr="007D1944">
        <w:rPr>
          <w:b/>
        </w:rPr>
        <w:t>QCL Type B {Doppler shift, Doppler}</w:t>
      </w:r>
      <w:r>
        <w:t xml:space="preserve">, thereby </w:t>
      </w:r>
      <w:r w:rsidR="00FF1990">
        <w:t>mimicking the LTE configurations. The use of Type B is e.g. for LTE CoMP scenario 4 where the NZP CSI-RSs are transmitted from micro nodes while TRS is transmitted from all nodes in the cell.</w:t>
      </w:r>
    </w:p>
    <w:p w14:paraId="6520A069" w14:textId="0B4500F4" w:rsidR="00FF1990" w:rsidRDefault="00FF1990" w:rsidP="006C2717">
      <w:r>
        <w:t>Note that it has also been agreed to support configuration of multiple TRS to the UE, which is useful in the case CoMP participating nodes have different baseband units and a separate sync resource is needed for each of them, See Figure 2 for this kind of configuration. Basically, the operation is the same although the configured NZP CSI-RS resources can be QCL with different TRS respectively.</w:t>
      </w:r>
    </w:p>
    <w:p w14:paraId="714248AF" w14:textId="30388C71" w:rsidR="00FF1990" w:rsidRDefault="00FF1990" w:rsidP="006C2717">
      <w:r>
        <w:t>These Figures 1 and 2 show the multi-TRP use cases but of course the most basic configuration with a single TRS and a single NZP CSI-RS is also supported as a special case.</w:t>
      </w:r>
    </w:p>
    <w:p w14:paraId="04709323" w14:textId="344496B3" w:rsidR="00FF1990" w:rsidRDefault="00FF1990" w:rsidP="006C2717">
      <w:r>
        <w:t>To support these use cases for midband operation, i.e. without involving spatial QCL, we need to make the following additional agreements:</w:t>
      </w:r>
    </w:p>
    <w:p w14:paraId="7FFF3817" w14:textId="08F0B8FF" w:rsidR="00103DE5" w:rsidRPr="00FF1990" w:rsidRDefault="00E04FBE" w:rsidP="002D022B">
      <w:pPr>
        <w:pStyle w:val="Keyproposal"/>
        <w:rPr>
          <w:lang w:val="en-US"/>
        </w:rPr>
      </w:pPr>
      <w:r w:rsidRPr="00FF1990">
        <w:rPr>
          <w:lang w:val="en-US"/>
        </w:rPr>
        <w:lastRenderedPageBreak/>
        <w:t xml:space="preserve">A NZP CSI-RS resource can be </w:t>
      </w:r>
      <w:r w:rsidR="00DD5387">
        <w:rPr>
          <w:lang w:val="en-US"/>
        </w:rPr>
        <w:t xml:space="preserve">UE specifically </w:t>
      </w:r>
      <w:r w:rsidRPr="00FF1990">
        <w:rPr>
          <w:lang w:val="en-US"/>
        </w:rPr>
        <w:t>RRC configured as QCL with a TRS w.r.t either</w:t>
      </w:r>
    </w:p>
    <w:p w14:paraId="7D17D1D3" w14:textId="49C28306" w:rsidR="00103DE5" w:rsidRPr="00FF1990" w:rsidRDefault="0020487D" w:rsidP="002D022B">
      <w:pPr>
        <w:pStyle w:val="Keyproposal"/>
        <w:numPr>
          <w:ilvl w:val="0"/>
          <w:numId w:val="19"/>
        </w:numPr>
        <w:rPr>
          <w:lang w:val="en-US"/>
        </w:rPr>
      </w:pPr>
      <w:r>
        <w:rPr>
          <w:lang w:val="en-US"/>
        </w:rPr>
        <w:t xml:space="preserve">Type A: </w:t>
      </w:r>
      <w:r w:rsidR="00E04FBE" w:rsidRPr="00FF1990">
        <w:rPr>
          <w:lang w:val="en-US"/>
        </w:rPr>
        <w:t>{Doppler spread, Doppler shift, average delay, delay spread}</w:t>
      </w:r>
    </w:p>
    <w:p w14:paraId="15D97514" w14:textId="20FDCCB1" w:rsidR="00103DE5" w:rsidRPr="00FF1990" w:rsidRDefault="0020487D" w:rsidP="002D022B">
      <w:pPr>
        <w:pStyle w:val="Keyproposal"/>
        <w:numPr>
          <w:ilvl w:val="0"/>
          <w:numId w:val="19"/>
        </w:numPr>
        <w:rPr>
          <w:lang w:val="sv-SE"/>
        </w:rPr>
      </w:pPr>
      <w:r>
        <w:rPr>
          <w:lang w:val="en-US"/>
        </w:rPr>
        <w:t xml:space="preserve">Type B: </w:t>
      </w:r>
      <w:r w:rsidR="00E04FBE" w:rsidRPr="00FF1990">
        <w:rPr>
          <w:lang w:val="en-US"/>
        </w:rPr>
        <w:t>{Doppler spread, Doppler shift}</w:t>
      </w:r>
    </w:p>
    <w:p w14:paraId="2377228A" w14:textId="355EEFDD" w:rsidR="00FF1990" w:rsidRDefault="002D022B" w:rsidP="006C2717">
      <w:r>
        <w:t>It is expected that this configuration takes place at the same time as when configuring the NZP CSI-RS resource. Morover, to make use of the TCI field and to support dynamic point selection and/or distributed MIMO:</w:t>
      </w:r>
    </w:p>
    <w:p w14:paraId="35543F81" w14:textId="1C53F90D" w:rsidR="00103DE5" w:rsidRPr="002D022B" w:rsidRDefault="002D022B" w:rsidP="002D022B">
      <w:pPr>
        <w:pStyle w:val="Keyproposal"/>
        <w:rPr>
          <w:lang w:val="en-US"/>
        </w:rPr>
      </w:pPr>
      <w:r>
        <w:rPr>
          <w:lang w:val="en-US"/>
        </w:rPr>
        <w:t xml:space="preserve">A </w:t>
      </w:r>
      <w:r w:rsidR="00E04FBE" w:rsidRPr="002D022B">
        <w:rPr>
          <w:lang w:val="en-US"/>
        </w:rPr>
        <w:t xml:space="preserve">PDSCH DMRS </w:t>
      </w:r>
      <w:r>
        <w:rPr>
          <w:lang w:val="en-US"/>
        </w:rPr>
        <w:t xml:space="preserve">port group </w:t>
      </w:r>
      <w:r w:rsidR="00E04FBE" w:rsidRPr="002D022B">
        <w:rPr>
          <w:lang w:val="en-US"/>
        </w:rPr>
        <w:t xml:space="preserve">can dynamically (using </w:t>
      </w:r>
      <w:r>
        <w:rPr>
          <w:lang w:val="en-US"/>
        </w:rPr>
        <w:t>the N-bit “</w:t>
      </w:r>
      <w:r w:rsidR="00E04FBE" w:rsidRPr="002D022B">
        <w:rPr>
          <w:lang w:val="en-US"/>
        </w:rPr>
        <w:t>TCI</w:t>
      </w:r>
      <w:r>
        <w:rPr>
          <w:lang w:val="en-US"/>
        </w:rPr>
        <w:t>”</w:t>
      </w:r>
      <w:r w:rsidR="00E04FBE" w:rsidRPr="002D022B">
        <w:rPr>
          <w:lang w:val="en-US"/>
        </w:rPr>
        <w:t xml:space="preserve"> field in DCI) </w:t>
      </w:r>
      <w:r w:rsidRPr="002D022B">
        <w:rPr>
          <w:lang w:val="en-US"/>
        </w:rPr>
        <w:t xml:space="preserve">be selected </w:t>
      </w:r>
      <w:r w:rsidR="00E04FBE" w:rsidRPr="002D022B">
        <w:rPr>
          <w:lang w:val="en-US"/>
        </w:rPr>
        <w:t xml:space="preserve">to be QCL with a </w:t>
      </w:r>
      <w:r w:rsidR="00DD5387">
        <w:rPr>
          <w:lang w:val="en-US"/>
        </w:rPr>
        <w:t xml:space="preserve">UE specifically RRC configured </w:t>
      </w:r>
      <w:r w:rsidR="00E04FBE" w:rsidRPr="002D022B">
        <w:rPr>
          <w:lang w:val="en-US"/>
        </w:rPr>
        <w:t>NZP CSI-RS</w:t>
      </w:r>
      <w:r>
        <w:rPr>
          <w:lang w:val="en-US"/>
        </w:rPr>
        <w:t xml:space="preserve"> resource</w:t>
      </w:r>
      <w:r w:rsidR="00E04FBE" w:rsidRPr="002D022B">
        <w:rPr>
          <w:lang w:val="en-US"/>
        </w:rPr>
        <w:t xml:space="preserve"> w.r.t {Doppler spread, Doppler shift, average delay, delay spread}</w:t>
      </w:r>
    </w:p>
    <w:p w14:paraId="0EC8609C" w14:textId="5E9D37F6" w:rsidR="006C2717" w:rsidRDefault="002D022B" w:rsidP="006C2717">
      <w:r>
        <w:t>And moreover, in the case of distributed MIMO transmission</w:t>
      </w:r>
      <w:r w:rsidR="00914EA3">
        <w:t xml:space="preserve"> with multiple DMRS port group s there must be a possibility to switch between one TRP, the other TRP or both TRPs when scheduling PDSCH.</w:t>
      </w:r>
    </w:p>
    <w:p w14:paraId="59D3022F" w14:textId="755501E9" w:rsidR="002D022B" w:rsidRPr="002D022B" w:rsidRDefault="002D022B" w:rsidP="002D022B">
      <w:pPr>
        <w:pStyle w:val="Proposal"/>
        <w:rPr>
          <w:lang w:val="en-US"/>
        </w:rPr>
      </w:pPr>
      <w:r>
        <w:t xml:space="preserve">If multiple DMRS port groups are configured, then the N-bit “TCI” field in DCI </w:t>
      </w:r>
      <w:r w:rsidR="00914EA3">
        <w:t xml:space="preserve">can simultaneously </w:t>
      </w:r>
      <w:r>
        <w:t xml:space="preserve">selects multiple </w:t>
      </w:r>
      <w:r w:rsidRPr="002D022B">
        <w:rPr>
          <w:lang w:val="en-US"/>
        </w:rPr>
        <w:t>NZP CSI-RS</w:t>
      </w:r>
      <w:r>
        <w:rPr>
          <w:lang w:val="en-US"/>
        </w:rPr>
        <w:t xml:space="preserve"> resources</w:t>
      </w:r>
      <w:r w:rsidR="00914EA3">
        <w:rPr>
          <w:lang w:val="en-US"/>
        </w:rPr>
        <w:t xml:space="preserve"> or a single NZP CSI-RS depending on the “TCI” state</w:t>
      </w:r>
    </w:p>
    <w:p w14:paraId="000298B1" w14:textId="58C5F178" w:rsidR="00DD5387" w:rsidRDefault="00DD5387" w:rsidP="006C2717">
      <w:pPr>
        <w:rPr>
          <w:lang w:val="en-US"/>
        </w:rPr>
      </w:pPr>
      <w:r>
        <w:rPr>
          <w:lang w:val="en-US"/>
        </w:rPr>
        <w:t>For PDCCH, each PDCCH DMRS in a CORESET can be QCL with a NZP CSI-RS. If multiple NZP CSI-RS are configured, then different CORESETS can be associated with different NZP CSI-RS, or the same NZP CSI-RS depending on configuration. Hence, the proposal is</w:t>
      </w:r>
      <w:r w:rsidR="00826C6D">
        <w:rPr>
          <w:lang w:val="en-US"/>
        </w:rPr>
        <w:t xml:space="preserve"> to reuse one or more of  the TCI states configured for PDSCH, but semistatically </w:t>
      </w:r>
      <w:r>
        <w:rPr>
          <w:lang w:val="en-US"/>
        </w:rPr>
        <w:t>:</w:t>
      </w:r>
    </w:p>
    <w:p w14:paraId="48655BCB" w14:textId="2E8B4808" w:rsidR="00826C6D" w:rsidRPr="00826C6D" w:rsidRDefault="00826C6D" w:rsidP="00826C6D">
      <w:pPr>
        <w:pStyle w:val="Keyproposal"/>
        <w:rPr>
          <w:lang w:val="en-US"/>
        </w:rPr>
      </w:pPr>
      <w:r>
        <w:t xml:space="preserve">A CORESET is RRC configured to be associated to one of the states as indicated by the N-bit “TCI” indicator in DCI. All the PDCCH DMRS in the CORESET is QCL with the DL RS indicated by the associated state </w:t>
      </w:r>
      <w:r w:rsidRPr="00DD5387">
        <w:rPr>
          <w:lang w:val="en-US"/>
        </w:rPr>
        <w:t>w.r.t {Doppler spread, Doppler shift, average delay, delay spread}</w:t>
      </w:r>
      <w:r>
        <w:rPr>
          <w:lang w:val="en-US"/>
        </w:rPr>
        <w:t>.</w:t>
      </w:r>
    </w:p>
    <w:p w14:paraId="2845CE7C" w14:textId="12151F8C" w:rsidR="0087275A" w:rsidRPr="0087275A" w:rsidRDefault="0087275A" w:rsidP="005E3232">
      <w:pPr>
        <w:rPr>
          <w:noProof/>
          <w:lang w:val="en-US" w:eastAsia="sv-SE"/>
        </w:rPr>
      </w:pPr>
    </w:p>
    <w:p w14:paraId="17D0B714" w14:textId="77777777" w:rsidR="004E01E0" w:rsidRDefault="006C2717" w:rsidP="004E01E0">
      <w:pPr>
        <w:keepNext/>
        <w:jc w:val="center"/>
      </w:pPr>
      <w:r>
        <w:rPr>
          <w:noProof/>
          <w:lang w:val="sv-SE" w:eastAsia="sv-SE"/>
        </w:rPr>
        <w:drawing>
          <wp:inline distT="0" distB="0" distL="0" distR="0" wp14:anchorId="54359998" wp14:editId="3FEE29C2">
            <wp:extent cx="3856823" cy="24277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8314"/>
                    <a:stretch/>
                  </pic:blipFill>
                  <pic:spPr bwMode="auto">
                    <a:xfrm>
                      <a:off x="0" y="0"/>
                      <a:ext cx="3862437" cy="2431320"/>
                    </a:xfrm>
                    <a:prstGeom prst="rect">
                      <a:avLst/>
                    </a:prstGeom>
                    <a:noFill/>
                    <a:ln>
                      <a:noFill/>
                    </a:ln>
                    <a:extLst>
                      <a:ext uri="{53640926-AAD7-44D8-BBD7-CCE9431645EC}">
                        <a14:shadowObscured xmlns:a14="http://schemas.microsoft.com/office/drawing/2010/main"/>
                      </a:ext>
                    </a:extLst>
                  </pic:spPr>
                </pic:pic>
              </a:graphicData>
            </a:graphic>
          </wp:inline>
        </w:drawing>
      </w:r>
    </w:p>
    <w:p w14:paraId="65D6E6AA" w14:textId="533962A0" w:rsidR="006C2717" w:rsidRDefault="00FF1990" w:rsidP="004E01E0">
      <w:pPr>
        <w:pStyle w:val="Caption"/>
      </w:pPr>
      <w:r>
        <w:t>Figure</w:t>
      </w:r>
      <w:r w:rsidR="004E01E0">
        <w:t xml:space="preserve"> </w:t>
      </w:r>
      <w:r w:rsidR="004E01E0">
        <w:fldChar w:fldCharType="begin"/>
      </w:r>
      <w:r w:rsidR="004E01E0">
        <w:instrText xml:space="preserve"> SEQ Figur \* ARABIC </w:instrText>
      </w:r>
      <w:r w:rsidR="004E01E0">
        <w:fldChar w:fldCharType="separate"/>
      </w:r>
      <w:r w:rsidR="00180DFD">
        <w:rPr>
          <w:noProof/>
        </w:rPr>
        <w:t>1</w:t>
      </w:r>
      <w:r w:rsidR="004E01E0">
        <w:fldChar w:fldCharType="end"/>
      </w:r>
      <w:r w:rsidR="004E01E0">
        <w:t xml:space="preserve"> Multi-TRP operation with </w:t>
      </w:r>
      <w:r>
        <w:t xml:space="preserve">tightly </w:t>
      </w:r>
      <w:r w:rsidR="004E01E0">
        <w:t>synchronized TRPs and using TCI bits to switch QCL assumption for PDSCH DMRS</w:t>
      </w:r>
    </w:p>
    <w:p w14:paraId="6ABFAE2A" w14:textId="75E325CC" w:rsidR="00FF1990" w:rsidRDefault="00FF1990" w:rsidP="00FF1990"/>
    <w:p w14:paraId="4A845807" w14:textId="77777777" w:rsidR="00FF1990" w:rsidRDefault="00FF1990" w:rsidP="00FF1990">
      <w:pPr>
        <w:keepNext/>
        <w:jc w:val="center"/>
      </w:pPr>
      <w:r>
        <w:rPr>
          <w:noProof/>
          <w:lang w:val="sv-SE" w:eastAsia="sv-SE"/>
        </w:rPr>
        <w:lastRenderedPageBreak/>
        <w:drawing>
          <wp:inline distT="0" distB="0" distL="0" distR="0" wp14:anchorId="6B880064" wp14:editId="182C5386">
            <wp:extent cx="4448175" cy="2834674"/>
            <wp:effectExtent l="0" t="0" r="0" b="381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49925" cy="2835789"/>
                    </a:xfrm>
                    <a:prstGeom prst="rect">
                      <a:avLst/>
                    </a:prstGeom>
                    <a:noFill/>
                  </pic:spPr>
                </pic:pic>
              </a:graphicData>
            </a:graphic>
          </wp:inline>
        </w:drawing>
      </w:r>
    </w:p>
    <w:p w14:paraId="084A3AC4" w14:textId="36DB390F" w:rsidR="00FF1990" w:rsidRDefault="00FF1990" w:rsidP="00FF1990">
      <w:pPr>
        <w:pStyle w:val="Caption"/>
      </w:pPr>
      <w:r>
        <w:t xml:space="preserve">Figure </w:t>
      </w:r>
      <w:r>
        <w:fldChar w:fldCharType="begin"/>
      </w:r>
      <w:r>
        <w:instrText xml:space="preserve"> SEQ Figur \* ARABIC </w:instrText>
      </w:r>
      <w:r>
        <w:fldChar w:fldCharType="separate"/>
      </w:r>
      <w:r w:rsidR="00180DFD">
        <w:rPr>
          <w:noProof/>
        </w:rPr>
        <w:t>2</w:t>
      </w:r>
      <w:r>
        <w:fldChar w:fldCharType="end"/>
      </w:r>
      <w:r>
        <w:t xml:space="preserve"> Multi-TRP operation with loosely synchronized TRPs and using TCI bits to switch QCL assumption for PDSCH DMRS</w:t>
      </w:r>
    </w:p>
    <w:p w14:paraId="30E326C4" w14:textId="5E72CC52" w:rsidR="009B2FFF" w:rsidRDefault="00994E33" w:rsidP="00994E33">
      <w:r>
        <w:t xml:space="preserve">The discussion above assumes that </w:t>
      </w:r>
      <w:r w:rsidR="009B2FFF">
        <w:t xml:space="preserve">TRS and NZP CSI-RS has been configured by UE specific RRC signalling.  If TRS or NZP CSI-RS is not configured, there should still be possibility to receive PDCCH and PDSCH, for example to receive RMSI, RAR and the RRC configuration message. </w:t>
      </w:r>
      <w:r w:rsidR="001333E0">
        <w:t>In [</w:t>
      </w:r>
      <w:r w:rsidR="008B2BF7">
        <w:t>1</w:t>
      </w:r>
      <w:r w:rsidR="001333E0">
        <w:t xml:space="preserve">], it is proposed that the PBCH or RMSI contains information which indicates whether the UE may assume that the SSB and DMRS are QCL or not. Hence, we make the following proposal: </w:t>
      </w:r>
    </w:p>
    <w:p w14:paraId="5572AB07" w14:textId="75776BBB" w:rsidR="00103DE5" w:rsidRPr="009B2FFF" w:rsidRDefault="00E04FBE" w:rsidP="009B2FFF">
      <w:pPr>
        <w:pStyle w:val="Keyproposal"/>
        <w:rPr>
          <w:lang w:val="en-US"/>
        </w:rPr>
      </w:pPr>
      <w:r w:rsidRPr="009B2FFF">
        <w:rPr>
          <w:lang w:val="en-US"/>
        </w:rPr>
        <w:t>If neither TRS nor NZP CSI-RS is configured</w:t>
      </w:r>
      <w:r w:rsidR="009B2FFF">
        <w:rPr>
          <w:lang w:val="en-US"/>
        </w:rPr>
        <w:t xml:space="preserve"> to the UE</w:t>
      </w:r>
      <w:r w:rsidRPr="009B2FFF">
        <w:rPr>
          <w:lang w:val="en-US"/>
        </w:rPr>
        <w:t>, t</w:t>
      </w:r>
      <w:r w:rsidR="009B2FFF">
        <w:rPr>
          <w:lang w:val="en-US"/>
        </w:rPr>
        <w:t>hen</w:t>
      </w:r>
      <w:r w:rsidR="001333E0">
        <w:rPr>
          <w:lang w:val="en-US"/>
        </w:rPr>
        <w:t xml:space="preserve"> the UE may assume that the</w:t>
      </w:r>
      <w:r w:rsidR="009B2FFF">
        <w:rPr>
          <w:lang w:val="en-US"/>
        </w:rPr>
        <w:t xml:space="preserve"> PDSCH DMRS and PDCCH DMRS are jointly QCL and also</w:t>
      </w:r>
      <w:r w:rsidRPr="009B2FFF">
        <w:rPr>
          <w:lang w:val="en-US"/>
        </w:rPr>
        <w:t xml:space="preserve"> QCL with the SSBlock detected during initial access w.r.t {Doppler spread, Doppler shift,</w:t>
      </w:r>
      <w:r w:rsidR="001333E0">
        <w:rPr>
          <w:lang w:val="en-US"/>
        </w:rPr>
        <w:t xml:space="preserve"> average delay, delay spread} if</w:t>
      </w:r>
      <w:r w:rsidRPr="009B2FFF">
        <w:rPr>
          <w:lang w:val="en-US"/>
        </w:rPr>
        <w:t xml:space="preserve"> indicated by PBCH/RMSI</w:t>
      </w:r>
    </w:p>
    <w:p w14:paraId="5E45A386" w14:textId="362A146D" w:rsidR="009B2FFF" w:rsidRPr="009B2FFF" w:rsidRDefault="00D84A45" w:rsidP="00994E33">
      <w:pPr>
        <w:rPr>
          <w:lang w:val="en-US"/>
        </w:rPr>
      </w:pPr>
      <w:r>
        <w:rPr>
          <w:lang w:val="en-US"/>
        </w:rPr>
        <w:t xml:space="preserve">It should be noted in the above proposals there is no QCL with the SSB if TRS and/or NZP CSI-RS has been configured. Hence, when the UE is in RRC_CONNECTED and receiving unicast PDSCH, there is no need to be associated with an SSB any longer. This is similar to LTE where the PSS/SSS/PBCH are not QCL with any other DL RS and thus not assist in the data demodulation. This also gives flexibility in network deployments since SSB can be distributed using e.g. SFN transmission without impacting on the unicast transmissions. If a use case is found, it can be possible to add SSB as a QCL resource also for UE that has TRS/NZP CSI-RS configured. </w:t>
      </w:r>
    </w:p>
    <w:p w14:paraId="5F520484" w14:textId="477CC85C" w:rsidR="00A15176" w:rsidRDefault="00A15176" w:rsidP="00CE0424">
      <w:pPr>
        <w:pStyle w:val="Heading1"/>
      </w:pPr>
      <w:r>
        <w:t>QCL for higher band operation</w:t>
      </w:r>
    </w:p>
    <w:p w14:paraId="191F3DB4" w14:textId="12A449AB" w:rsidR="00A15176" w:rsidRDefault="00A15176" w:rsidP="00A15176">
      <w:r>
        <w:t>The framework in the previous section can be extended to support mm</w:t>
      </w:r>
      <w:r w:rsidR="00D84A45">
        <w:t>-</w:t>
      </w:r>
      <w:r>
        <w:t xml:space="preserve">wave operation and in particular the use of analog beams in which </w:t>
      </w:r>
      <w:r w:rsidR="00D84A45">
        <w:t xml:space="preserve">case </w:t>
      </w:r>
      <w:r>
        <w:t xml:space="preserve">spatial QCL </w:t>
      </w:r>
      <w:r w:rsidR="00D84A45">
        <w:t xml:space="preserve">indication needs to be considered as well. The approach taken here is that the midband QCL framework is extended by adding the spatial QCL parameter. </w:t>
      </w:r>
    </w:p>
    <w:p w14:paraId="43AAEE40" w14:textId="481460E6" w:rsidR="00D84A45" w:rsidRDefault="00B61CB5" w:rsidP="00A15176">
      <w:pPr>
        <w:rPr>
          <w:rFonts w:eastAsia="MS Mincho"/>
          <w:lang w:eastAsia="ja-JP"/>
        </w:rPr>
      </w:pPr>
      <w:r>
        <w:t xml:space="preserve">For PDSCH reception, the </w:t>
      </w:r>
      <w:r w:rsidR="00667BCA">
        <w:t xml:space="preserve">QCL parameters which the </w:t>
      </w:r>
      <w:r>
        <w:t xml:space="preserve">N-bit “TCI” indicator in DCI </w:t>
      </w:r>
      <w:r w:rsidR="00667BCA">
        <w:t xml:space="preserve">can be extended to also include the spatial parameter. </w:t>
      </w:r>
      <w:r>
        <w:t xml:space="preserve"> </w:t>
      </w:r>
      <w:r w:rsidR="00667BCA">
        <w:t>Hence the TCI essentially becomes a beam indicator. Moreover, the SSB index is added to the possible DL RSs that can be referred to by the TCI</w:t>
      </w:r>
      <w:r w:rsidR="00180DFD">
        <w:t xml:space="preserve"> as to provide a fallback to a wider beam </w:t>
      </w:r>
      <w:r w:rsidR="00667BCA">
        <w:t xml:space="preserve">. More on how to configure and manage the TCI states, which basically is </w:t>
      </w:r>
      <w:r w:rsidR="00180DFD">
        <w:t xml:space="preserve">the essence of beam management, </w:t>
      </w:r>
      <w:r w:rsidR="00667BCA">
        <w:t xml:space="preserve">are given </w:t>
      </w:r>
      <w:r w:rsidR="00667BCA" w:rsidRPr="008B2BF7">
        <w:t>in [</w:t>
      </w:r>
      <w:r w:rsidR="008B2BF7" w:rsidRPr="008B2BF7">
        <w:t>2</w:t>
      </w:r>
      <w:r w:rsidR="00667BCA" w:rsidRPr="008B2BF7">
        <w:rPr>
          <w:rFonts w:eastAsia="MS Mincho"/>
          <w:lang w:eastAsia="ja-JP"/>
        </w:rPr>
        <w:t>].</w:t>
      </w:r>
      <w:r w:rsidR="00667BCA">
        <w:rPr>
          <w:rFonts w:eastAsia="MS Mincho"/>
          <w:i/>
          <w:lang w:eastAsia="ja-JP"/>
        </w:rPr>
        <w:t xml:space="preserve"> </w:t>
      </w:r>
    </w:p>
    <w:p w14:paraId="63A14403" w14:textId="50D83449" w:rsidR="006A00E4" w:rsidRPr="006A00E4" w:rsidRDefault="006A00E4" w:rsidP="00A15176">
      <w:r>
        <w:rPr>
          <w:rFonts w:eastAsia="MS Mincho"/>
          <w:lang w:eastAsia="ja-JP"/>
        </w:rPr>
        <w:t>It should be noted, that contrary to the rather static operation in midband operation, the DL RS associated with the different TCI states may change dynamically based on the beam management procedures</w:t>
      </w:r>
      <w:r w:rsidRPr="006A00E4">
        <w:rPr>
          <w:rFonts w:eastAsia="MS Mincho"/>
          <w:lang w:eastAsia="ja-JP"/>
        </w:rPr>
        <w:t xml:space="preserve"> </w:t>
      </w:r>
      <w:r>
        <w:rPr>
          <w:rFonts w:eastAsia="MS Mincho"/>
          <w:lang w:eastAsia="ja-JP"/>
        </w:rPr>
        <w:t xml:space="preserve">in high band. </w:t>
      </w:r>
    </w:p>
    <w:p w14:paraId="247E5290" w14:textId="77777777" w:rsidR="00667BCA" w:rsidRDefault="00667BCA" w:rsidP="00667BCA">
      <w:pPr>
        <w:keepNext/>
        <w:jc w:val="center"/>
      </w:pPr>
      <w:r>
        <w:rPr>
          <w:noProof/>
          <w:lang w:val="sv-SE" w:eastAsia="sv-SE"/>
        </w:rPr>
        <w:lastRenderedPageBreak/>
        <w:drawing>
          <wp:inline distT="0" distB="0" distL="0" distR="0" wp14:anchorId="23B71B8E" wp14:editId="371CA39E">
            <wp:extent cx="5312508" cy="1965960"/>
            <wp:effectExtent l="0" t="0" r="254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5166" cy="1966944"/>
                    </a:xfrm>
                    <a:prstGeom prst="rect">
                      <a:avLst/>
                    </a:prstGeom>
                    <a:noFill/>
                  </pic:spPr>
                </pic:pic>
              </a:graphicData>
            </a:graphic>
          </wp:inline>
        </w:drawing>
      </w:r>
    </w:p>
    <w:p w14:paraId="03F10878" w14:textId="0D32CBAD" w:rsidR="00667BCA" w:rsidRDefault="00667BCA" w:rsidP="00667BCA">
      <w:pPr>
        <w:pStyle w:val="Caption"/>
      </w:pPr>
      <w:r>
        <w:t xml:space="preserve">Figure </w:t>
      </w:r>
      <w:r>
        <w:fldChar w:fldCharType="begin"/>
      </w:r>
      <w:r>
        <w:instrText xml:space="preserve"> SEQ Figur \* ARABIC </w:instrText>
      </w:r>
      <w:r>
        <w:fldChar w:fldCharType="separate"/>
      </w:r>
      <w:r w:rsidR="00180DFD">
        <w:rPr>
          <w:noProof/>
        </w:rPr>
        <w:t>3</w:t>
      </w:r>
      <w:r>
        <w:fldChar w:fldCharType="end"/>
      </w:r>
      <w:r>
        <w:t xml:space="preserve"> The N-bit TCI indicator in DCI can switch between different NZP CSI-RS resources or SSBs. </w:t>
      </w:r>
    </w:p>
    <w:p w14:paraId="7A585AA6" w14:textId="4DB75C40" w:rsidR="00667BCA" w:rsidRDefault="00667BCA" w:rsidP="00667BCA">
      <w:r>
        <w:t>To support this procedure, the proposal</w:t>
      </w:r>
      <w:r w:rsidR="00180DFD">
        <w:t xml:space="preserve"> related to QCL</w:t>
      </w:r>
      <w:r>
        <w:t xml:space="preserve"> is</w:t>
      </w:r>
    </w:p>
    <w:p w14:paraId="67990EAB" w14:textId="6776FC23" w:rsidR="00667BCA" w:rsidRDefault="00667BCA" w:rsidP="00667BCA">
      <w:pPr>
        <w:pStyle w:val="Keyproposal"/>
        <w:rPr>
          <w:lang w:val="en-US"/>
        </w:rPr>
      </w:pPr>
      <w:r>
        <w:rPr>
          <w:lang w:val="en-US"/>
        </w:rPr>
        <w:t xml:space="preserve">The QCL parameters </w:t>
      </w:r>
      <w:r w:rsidR="00180DFD">
        <w:rPr>
          <w:lang w:val="en-US"/>
        </w:rPr>
        <w:t xml:space="preserve">associated with the </w:t>
      </w:r>
      <w:r>
        <w:rPr>
          <w:lang w:val="en-US"/>
        </w:rPr>
        <w:t>N-bit “</w:t>
      </w:r>
      <w:r w:rsidRPr="002D022B">
        <w:rPr>
          <w:lang w:val="en-US"/>
        </w:rPr>
        <w:t>TCI</w:t>
      </w:r>
      <w:r>
        <w:rPr>
          <w:lang w:val="en-US"/>
        </w:rPr>
        <w:t>”</w:t>
      </w:r>
      <w:r w:rsidR="00180DFD">
        <w:rPr>
          <w:lang w:val="en-US"/>
        </w:rPr>
        <w:t xml:space="preserve"> field in DCI</w:t>
      </w:r>
      <w:r w:rsidRPr="002D022B">
        <w:rPr>
          <w:lang w:val="en-US"/>
        </w:rPr>
        <w:t xml:space="preserve"> </w:t>
      </w:r>
      <w:r w:rsidR="00180DFD">
        <w:rPr>
          <w:lang w:val="en-US"/>
        </w:rPr>
        <w:t>can be extended by RRC to additionally include spatial QCL</w:t>
      </w:r>
    </w:p>
    <w:p w14:paraId="54886355" w14:textId="5EA60AF3" w:rsidR="00180DFD" w:rsidRDefault="00180DFD" w:rsidP="00180DFD">
      <w:r w:rsidRPr="00180DFD">
        <w:t>For the PDCCH</w:t>
      </w:r>
      <w:r>
        <w:t xml:space="preserve"> reception, it has been agreed that </w:t>
      </w:r>
      <w:r w:rsidRPr="00180DFD">
        <w:t>RRC only or RRC+ MAC CE signaling is used to indicate QCL relation (at least w.r.t spatial RX parameters) between DMRS port(s) of UE-specific PDCCH and either SS Block or P/SP CSI-RS resource(s)</w:t>
      </w:r>
      <w:r>
        <w:t xml:space="preserve">. Hence, it is possible also here to build on the QCL framework for midband </w:t>
      </w:r>
      <w:r w:rsidR="006A00E4">
        <w:t xml:space="preserve">operation by adding spatial QCL while also allowing for QCL with an SSB. Since beam management is used, and the DL RS to use as QCL reference may change dynamically (e.g. using MAC CE), it is </w:t>
      </w:r>
      <w:r w:rsidR="00826C6D">
        <w:t>useful</w:t>
      </w:r>
      <w:r w:rsidR="006A00E4">
        <w:t xml:space="preserve"> that the QCL to assume for PDCCH is one of the TCI states</w:t>
      </w:r>
      <w:r w:rsidR="00826C6D">
        <w:t xml:space="preserve"> as suggested in </w:t>
      </w:r>
      <w:r w:rsidR="00826C6D" w:rsidRPr="00826C6D">
        <w:rPr>
          <w:b/>
        </w:rPr>
        <w:t>Key Proposal 3</w:t>
      </w:r>
      <w:r w:rsidR="006A00E4">
        <w:t xml:space="preserve">. Thereby both PDCCH and PDSCH can be handled by the same beam management procedure and it is possible to transmit PDCCH and PDSCH in the same beam, which likely is the normal case. </w:t>
      </w:r>
    </w:p>
    <w:p w14:paraId="5C5BA576" w14:textId="6AEDB45F" w:rsidR="00180DFD" w:rsidRPr="00180DFD" w:rsidRDefault="00C94614" w:rsidP="00180DFD">
      <w:pPr>
        <w:rPr>
          <w:lang w:val="en-US"/>
        </w:rPr>
      </w:pPr>
      <w:r>
        <w:rPr>
          <w:lang w:val="en-US"/>
        </w:rPr>
        <w:t xml:space="preserve">Note that multiple CORESETs can be configured and each CORESET can be QCL with different DL RS, hence each CORESET is configured its own TCI state. </w:t>
      </w:r>
    </w:p>
    <w:p w14:paraId="4DB1E383" w14:textId="001CBDE5" w:rsidR="008A3BAD" w:rsidRPr="00667BCA" w:rsidRDefault="00AB3526" w:rsidP="00667BCA">
      <w:pPr>
        <w:rPr>
          <w:lang w:val="en-US"/>
        </w:rPr>
      </w:pPr>
      <w:r>
        <w:rPr>
          <w:lang w:val="en-US"/>
        </w:rPr>
        <w:t>It has further been agreed that a NZP CSI-RS can be configured with a SSB or a NZP CSI-RS wr.t. spatial QCL.</w:t>
      </w:r>
      <w:r w:rsidR="00D321CB">
        <w:rPr>
          <w:lang w:val="en-US"/>
        </w:rPr>
        <w:t xml:space="preserve"> Moreover, TRS may be supported for high band operation as well, in which case TRS could be a candidate for Type A or Type B kind of QCL association</w:t>
      </w:r>
      <w:r w:rsidR="008A3BAD">
        <w:rPr>
          <w:lang w:val="en-US"/>
        </w:rPr>
        <w:t xml:space="preserve"> (non-spatial QCL parameters)</w:t>
      </w:r>
      <w:r w:rsidR="00D321CB">
        <w:rPr>
          <w:lang w:val="en-US"/>
        </w:rPr>
        <w:t xml:space="preserve"> with the NZP CSI-RS. </w:t>
      </w:r>
      <w:r w:rsidR="008A3BAD">
        <w:rPr>
          <w:lang w:val="en-US"/>
        </w:rPr>
        <w:t xml:space="preserve">More discussion is needed after TRS discussion has settled for high band operation. </w:t>
      </w:r>
    </w:p>
    <w:bookmarkEnd w:id="2"/>
    <w:p w14:paraId="634ECD39" w14:textId="7471BB18" w:rsidR="00DF71A0" w:rsidRPr="00CE0424" w:rsidRDefault="00DF71A0" w:rsidP="006E062C"/>
    <w:p w14:paraId="6123E2A4" w14:textId="05A4D88F" w:rsidR="00C01F33" w:rsidRDefault="00CA2C60" w:rsidP="00CE0424">
      <w:pPr>
        <w:pStyle w:val="Heading1"/>
      </w:pPr>
      <w:r>
        <w:t>Proposal summary</w:t>
      </w:r>
      <w:bookmarkStart w:id="3" w:name="_GoBack"/>
      <w:bookmarkEnd w:id="3"/>
    </w:p>
    <w:p w14:paraId="0855E37A" w14:textId="2A612C73" w:rsidR="008B2BF7" w:rsidRDefault="008B2BF7" w:rsidP="008B2BF7">
      <w:r>
        <w:t>We make the following key proposals related to NR QCL framework where the first 4 are general for both midband and high-band operation while proposal 5 is an extension that can be configured particularly for high-band (i.e. mm-wave) operation if neccessary:</w:t>
      </w:r>
    </w:p>
    <w:p w14:paraId="02741268" w14:textId="77777777" w:rsidR="008B2BF7" w:rsidRPr="008B2BF7" w:rsidRDefault="008B2BF7" w:rsidP="008B2BF7">
      <w:pPr>
        <w:pStyle w:val="Keyproposal"/>
        <w:numPr>
          <w:ilvl w:val="0"/>
          <w:numId w:val="24"/>
        </w:numPr>
        <w:rPr>
          <w:lang w:val="en-US"/>
        </w:rPr>
      </w:pPr>
      <w:r w:rsidRPr="008B2BF7">
        <w:rPr>
          <w:lang w:val="en-US"/>
        </w:rPr>
        <w:t>A NZP CSI-RS resource can be UE specifically RRC configured as QCL with a TRS w.r.t either</w:t>
      </w:r>
    </w:p>
    <w:p w14:paraId="39F2BE81" w14:textId="77777777" w:rsidR="008B2BF7" w:rsidRPr="00FF1990" w:rsidRDefault="008B2BF7" w:rsidP="008B2BF7">
      <w:pPr>
        <w:pStyle w:val="Keyproposal"/>
        <w:numPr>
          <w:ilvl w:val="0"/>
          <w:numId w:val="19"/>
        </w:numPr>
        <w:rPr>
          <w:lang w:val="en-US"/>
        </w:rPr>
      </w:pPr>
      <w:r>
        <w:rPr>
          <w:lang w:val="en-US"/>
        </w:rPr>
        <w:t xml:space="preserve">Type A: </w:t>
      </w:r>
      <w:r w:rsidRPr="00FF1990">
        <w:rPr>
          <w:lang w:val="en-US"/>
        </w:rPr>
        <w:t>{Doppler spread, Doppler shift, average delay, delay spread}</w:t>
      </w:r>
    </w:p>
    <w:p w14:paraId="3083207A" w14:textId="2D3A9D76" w:rsidR="008B2BF7" w:rsidRPr="008B2BF7" w:rsidRDefault="008B2BF7" w:rsidP="008B2BF7">
      <w:pPr>
        <w:pStyle w:val="Keyproposal"/>
        <w:numPr>
          <w:ilvl w:val="0"/>
          <w:numId w:val="19"/>
        </w:numPr>
        <w:rPr>
          <w:lang w:val="sv-SE"/>
        </w:rPr>
      </w:pPr>
      <w:r>
        <w:rPr>
          <w:lang w:val="en-US"/>
        </w:rPr>
        <w:t xml:space="preserve">Type B: </w:t>
      </w:r>
      <w:r w:rsidRPr="00FF1990">
        <w:rPr>
          <w:lang w:val="en-US"/>
        </w:rPr>
        <w:t>{Doppler spread, Doppler shift}</w:t>
      </w:r>
    </w:p>
    <w:p w14:paraId="3F2970C5" w14:textId="6577FAEA" w:rsidR="008B2BF7" w:rsidRDefault="008B2BF7" w:rsidP="008B2BF7">
      <w:pPr>
        <w:pStyle w:val="Keyproposal"/>
        <w:numPr>
          <w:ilvl w:val="0"/>
          <w:numId w:val="26"/>
        </w:numPr>
        <w:rPr>
          <w:lang w:val="en-US"/>
        </w:rPr>
      </w:pPr>
      <w:r>
        <w:rPr>
          <w:lang w:val="en-US"/>
        </w:rPr>
        <w:t xml:space="preserve">A </w:t>
      </w:r>
      <w:r w:rsidRPr="002D022B">
        <w:rPr>
          <w:lang w:val="en-US"/>
        </w:rPr>
        <w:t xml:space="preserve">PDSCH DMRS </w:t>
      </w:r>
      <w:r>
        <w:rPr>
          <w:lang w:val="en-US"/>
        </w:rPr>
        <w:t xml:space="preserve">port group </w:t>
      </w:r>
      <w:r w:rsidRPr="002D022B">
        <w:rPr>
          <w:lang w:val="en-US"/>
        </w:rPr>
        <w:t xml:space="preserve">can dynamically (using </w:t>
      </w:r>
      <w:r>
        <w:rPr>
          <w:lang w:val="en-US"/>
        </w:rPr>
        <w:t>the N-bit “</w:t>
      </w:r>
      <w:r w:rsidRPr="002D022B">
        <w:rPr>
          <w:lang w:val="en-US"/>
        </w:rPr>
        <w:t>TCI</w:t>
      </w:r>
      <w:r>
        <w:rPr>
          <w:lang w:val="en-US"/>
        </w:rPr>
        <w:t>”</w:t>
      </w:r>
      <w:r w:rsidRPr="002D022B">
        <w:rPr>
          <w:lang w:val="en-US"/>
        </w:rPr>
        <w:t xml:space="preserve"> field in DCI) be selected to be QCL with a </w:t>
      </w:r>
      <w:r>
        <w:rPr>
          <w:lang w:val="en-US"/>
        </w:rPr>
        <w:t xml:space="preserve">UE specifically RRC configured </w:t>
      </w:r>
      <w:r w:rsidRPr="002D022B">
        <w:rPr>
          <w:lang w:val="en-US"/>
        </w:rPr>
        <w:t>NZP CSI-RS</w:t>
      </w:r>
      <w:r>
        <w:rPr>
          <w:lang w:val="en-US"/>
        </w:rPr>
        <w:t xml:space="preserve"> resource</w:t>
      </w:r>
      <w:r w:rsidRPr="002D022B">
        <w:rPr>
          <w:lang w:val="en-US"/>
        </w:rPr>
        <w:t xml:space="preserve"> w.r.t {Doppler spread, Doppler shift, average delay, delay spread}</w:t>
      </w:r>
    </w:p>
    <w:p w14:paraId="2B5069D3" w14:textId="77777777" w:rsidR="008B2BF7" w:rsidRPr="008B2BF7" w:rsidRDefault="008B2BF7" w:rsidP="008B2BF7">
      <w:pPr>
        <w:pStyle w:val="ListParagraph"/>
        <w:numPr>
          <w:ilvl w:val="0"/>
          <w:numId w:val="26"/>
        </w:numPr>
        <w:rPr>
          <w:b/>
          <w:bCs/>
          <w:lang w:val="en-US"/>
        </w:rPr>
      </w:pPr>
      <w:r w:rsidRPr="008B2BF7">
        <w:rPr>
          <w:b/>
          <w:bCs/>
          <w:lang w:val="en-US"/>
        </w:rPr>
        <w:t>A CORESET is RRC configured to be associated to one of the states as indicated by the N-bit “TCI” indicator in DCI. All the PDCCH DMRS in the CORESET is QCL with the DL RS indicated by the associated state w.r.t {Doppler spread, Doppler shift, average delay, delay spread}.</w:t>
      </w:r>
    </w:p>
    <w:p w14:paraId="719AE1A5" w14:textId="77777777" w:rsidR="008B2BF7" w:rsidRPr="008B2BF7" w:rsidRDefault="008B2BF7" w:rsidP="008B2BF7">
      <w:pPr>
        <w:pStyle w:val="ListParagraph"/>
        <w:numPr>
          <w:ilvl w:val="0"/>
          <w:numId w:val="26"/>
        </w:numPr>
        <w:rPr>
          <w:b/>
          <w:bCs/>
          <w:lang w:val="en-US"/>
        </w:rPr>
      </w:pPr>
      <w:r w:rsidRPr="008B2BF7">
        <w:rPr>
          <w:b/>
          <w:bCs/>
          <w:lang w:val="en-US"/>
        </w:rPr>
        <w:t>If neither TRS nor NZP CSI-RS is configured to the UE, then the UE may assume that the PDSCH DMRS and PDCCH DMRS are jointly QCL and also QCL with the SSBlock detected during initial access w.r.t {Doppler spread, Doppler shift, average delay, delay spread} if indicated by PBCH/RMSI</w:t>
      </w:r>
    </w:p>
    <w:p w14:paraId="3CB77C47" w14:textId="5B743751" w:rsidR="008B2BF7" w:rsidRDefault="008B2BF7" w:rsidP="008B2BF7">
      <w:pPr>
        <w:pStyle w:val="Keyproposal"/>
        <w:numPr>
          <w:ilvl w:val="0"/>
          <w:numId w:val="26"/>
        </w:numPr>
        <w:rPr>
          <w:lang w:val="en-US"/>
        </w:rPr>
      </w:pPr>
      <w:r w:rsidRPr="008B2BF7">
        <w:rPr>
          <w:lang w:val="en-US"/>
        </w:rPr>
        <w:t>The QCL parameters associated with the N-bit “TCI” field in DCI can be extended by RRC to additionally include spatial QCL</w:t>
      </w:r>
    </w:p>
    <w:p w14:paraId="147B0B3A" w14:textId="2D5CC97B" w:rsidR="008B2BF7" w:rsidRDefault="008B2BF7" w:rsidP="008B2BF7">
      <w:pPr>
        <w:pStyle w:val="Keyproposal"/>
        <w:numPr>
          <w:ilvl w:val="0"/>
          <w:numId w:val="0"/>
        </w:numPr>
        <w:ind w:left="720" w:hanging="360"/>
        <w:rPr>
          <w:lang w:val="en-US"/>
        </w:rPr>
      </w:pPr>
    </w:p>
    <w:p w14:paraId="5BAA335F" w14:textId="7727405D" w:rsidR="008B2BF7" w:rsidRPr="008B2BF7" w:rsidRDefault="008B2BF7" w:rsidP="008B2BF7">
      <w:pPr>
        <w:pStyle w:val="Keyproposal"/>
        <w:numPr>
          <w:ilvl w:val="0"/>
          <w:numId w:val="0"/>
        </w:numPr>
        <w:ind w:left="360"/>
        <w:rPr>
          <w:b w:val="0"/>
          <w:lang w:val="en-US"/>
        </w:rPr>
      </w:pPr>
      <w:r w:rsidRPr="008B2BF7">
        <w:rPr>
          <w:b w:val="0"/>
          <w:lang w:val="en-US"/>
        </w:rPr>
        <w:lastRenderedPageBreak/>
        <w:t>In addition, we have the following proposal which currently is of lower priority as it deals with more detailed framework operation</w:t>
      </w:r>
    </w:p>
    <w:p w14:paraId="7A99ED4C" w14:textId="77777777" w:rsidR="008B2BF7" w:rsidRPr="008B2BF7" w:rsidRDefault="008B2BF7" w:rsidP="008B2BF7">
      <w:pPr>
        <w:pStyle w:val="Proposal"/>
        <w:numPr>
          <w:ilvl w:val="0"/>
          <w:numId w:val="28"/>
        </w:numPr>
        <w:rPr>
          <w:lang w:val="en-US"/>
        </w:rPr>
      </w:pPr>
      <w:r>
        <w:t xml:space="preserve">If multiple DMRS port groups are configured, then the N-bit “TCI” field in DCI can simultaneously selects multiple </w:t>
      </w:r>
      <w:r w:rsidRPr="008B2BF7">
        <w:rPr>
          <w:lang w:val="en-US"/>
        </w:rPr>
        <w:t>NZP CSI-RS resources or a single NZP CSI-RS depending on the “TCI” state</w:t>
      </w:r>
    </w:p>
    <w:p w14:paraId="30E827C9" w14:textId="6A651EC1" w:rsidR="008B2BF7" w:rsidRPr="008B2BF7" w:rsidRDefault="008B2BF7" w:rsidP="008B2BF7"/>
    <w:p w14:paraId="40CE21A7" w14:textId="77777777" w:rsidR="00F507D1" w:rsidRPr="00CE0424" w:rsidRDefault="00F507D1" w:rsidP="00CE0424">
      <w:pPr>
        <w:pStyle w:val="Heading1"/>
      </w:pPr>
      <w:bookmarkStart w:id="4" w:name="_In-sequence_SDU_delivery"/>
      <w:bookmarkEnd w:id="4"/>
      <w:r w:rsidRPr="00CE0424">
        <w:t>References</w:t>
      </w:r>
    </w:p>
    <w:p w14:paraId="1191128A" w14:textId="548D36F4" w:rsidR="005F3025" w:rsidRPr="00CE0424" w:rsidRDefault="008B2BF7" w:rsidP="008B2BF7">
      <w:pPr>
        <w:pStyle w:val="Reference"/>
      </w:pPr>
      <w:bookmarkStart w:id="5" w:name="_Ref174151459"/>
      <w:bookmarkStart w:id="6" w:name="_Ref189809556"/>
      <w:r>
        <w:t>R1-1716150, “</w:t>
      </w:r>
      <w:r w:rsidRPr="008B2BF7">
        <w:t>Remaining details on NR-PBCH design</w:t>
      </w:r>
      <w:r>
        <w:t xml:space="preserve">”, Ericsson </w:t>
      </w:r>
    </w:p>
    <w:bookmarkEnd w:id="5"/>
    <w:bookmarkEnd w:id="6"/>
    <w:p w14:paraId="679F23AE" w14:textId="1A89D178" w:rsidR="008B2BF7" w:rsidRPr="00CE0424" w:rsidRDefault="008B2BF7" w:rsidP="008B2BF7">
      <w:pPr>
        <w:pStyle w:val="Reference"/>
      </w:pPr>
      <w:r>
        <w:t>R1-171</w:t>
      </w:r>
      <w:r>
        <w:t>63</w:t>
      </w:r>
      <w:r>
        <w:t>50, “</w:t>
      </w:r>
      <w:r w:rsidRPr="008B2BF7">
        <w:t>On beam indication, measurement, and reporting</w:t>
      </w:r>
      <w:r>
        <w:t xml:space="preserve">”, Ericsson </w:t>
      </w:r>
    </w:p>
    <w:p w14:paraId="3F821E55" w14:textId="77777777"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E2101" w14:textId="77777777" w:rsidR="004A5AD5" w:rsidRDefault="004A5AD5">
      <w:r>
        <w:separator/>
      </w:r>
    </w:p>
  </w:endnote>
  <w:endnote w:type="continuationSeparator" w:id="0">
    <w:p w14:paraId="11D36985" w14:textId="77777777" w:rsidR="004A5AD5" w:rsidRDefault="004A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2F411" w14:textId="5986051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2C6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2C6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F655A" w14:textId="77777777" w:rsidR="004A5AD5" w:rsidRDefault="004A5AD5">
      <w:r>
        <w:separator/>
      </w:r>
    </w:p>
  </w:footnote>
  <w:footnote w:type="continuationSeparator" w:id="0">
    <w:p w14:paraId="44FA77CA" w14:textId="77777777" w:rsidR="004A5AD5" w:rsidRDefault="004A5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33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DF44F1"/>
    <w:multiLevelType w:val="hybridMultilevel"/>
    <w:tmpl w:val="B30EC4F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070C0E2A"/>
    <w:multiLevelType w:val="hybridMultilevel"/>
    <w:tmpl w:val="02582F34"/>
    <w:lvl w:ilvl="0" w:tplc="63402A26">
      <w:start w:val="1"/>
      <w:numFmt w:val="decimal"/>
      <w:lvlText w:val="%1."/>
      <w:lvlJc w:val="left"/>
      <w:pPr>
        <w:tabs>
          <w:tab w:val="num" w:pos="720"/>
        </w:tabs>
        <w:ind w:left="720" w:hanging="360"/>
      </w:pPr>
    </w:lvl>
    <w:lvl w:ilvl="1" w:tplc="51D25968">
      <w:numFmt w:val="bullet"/>
      <w:lvlText w:val="–"/>
      <w:lvlJc w:val="left"/>
      <w:pPr>
        <w:tabs>
          <w:tab w:val="num" w:pos="1440"/>
        </w:tabs>
        <w:ind w:left="1440" w:hanging="360"/>
      </w:pPr>
      <w:rPr>
        <w:rFonts w:ascii="Ericsson Capital TT" w:hAnsi="Ericsson Capital TT" w:hint="default"/>
      </w:rPr>
    </w:lvl>
    <w:lvl w:ilvl="2" w:tplc="843C9A2A" w:tentative="1">
      <w:start w:val="1"/>
      <w:numFmt w:val="decimal"/>
      <w:lvlText w:val="%3."/>
      <w:lvlJc w:val="left"/>
      <w:pPr>
        <w:tabs>
          <w:tab w:val="num" w:pos="2160"/>
        </w:tabs>
        <w:ind w:left="2160" w:hanging="360"/>
      </w:pPr>
    </w:lvl>
    <w:lvl w:ilvl="3" w:tplc="BFE06798" w:tentative="1">
      <w:start w:val="1"/>
      <w:numFmt w:val="decimal"/>
      <w:lvlText w:val="%4."/>
      <w:lvlJc w:val="left"/>
      <w:pPr>
        <w:tabs>
          <w:tab w:val="num" w:pos="2880"/>
        </w:tabs>
        <w:ind w:left="2880" w:hanging="360"/>
      </w:pPr>
    </w:lvl>
    <w:lvl w:ilvl="4" w:tplc="B256FBD6" w:tentative="1">
      <w:start w:val="1"/>
      <w:numFmt w:val="decimal"/>
      <w:lvlText w:val="%5."/>
      <w:lvlJc w:val="left"/>
      <w:pPr>
        <w:tabs>
          <w:tab w:val="num" w:pos="3600"/>
        </w:tabs>
        <w:ind w:left="3600" w:hanging="360"/>
      </w:pPr>
    </w:lvl>
    <w:lvl w:ilvl="5" w:tplc="CE18EFD6" w:tentative="1">
      <w:start w:val="1"/>
      <w:numFmt w:val="decimal"/>
      <w:lvlText w:val="%6."/>
      <w:lvlJc w:val="left"/>
      <w:pPr>
        <w:tabs>
          <w:tab w:val="num" w:pos="4320"/>
        </w:tabs>
        <w:ind w:left="4320" w:hanging="360"/>
      </w:pPr>
    </w:lvl>
    <w:lvl w:ilvl="6" w:tplc="98489AC2" w:tentative="1">
      <w:start w:val="1"/>
      <w:numFmt w:val="decimal"/>
      <w:lvlText w:val="%7."/>
      <w:lvlJc w:val="left"/>
      <w:pPr>
        <w:tabs>
          <w:tab w:val="num" w:pos="5040"/>
        </w:tabs>
        <w:ind w:left="5040" w:hanging="360"/>
      </w:pPr>
    </w:lvl>
    <w:lvl w:ilvl="7" w:tplc="82D4661A" w:tentative="1">
      <w:start w:val="1"/>
      <w:numFmt w:val="decimal"/>
      <w:lvlText w:val="%8."/>
      <w:lvlJc w:val="left"/>
      <w:pPr>
        <w:tabs>
          <w:tab w:val="num" w:pos="5760"/>
        </w:tabs>
        <w:ind w:left="5760" w:hanging="360"/>
      </w:pPr>
    </w:lvl>
    <w:lvl w:ilvl="8" w:tplc="80526CD6" w:tentative="1">
      <w:start w:val="1"/>
      <w:numFmt w:val="decimal"/>
      <w:lvlText w:val="%9."/>
      <w:lvlJc w:val="left"/>
      <w:pPr>
        <w:tabs>
          <w:tab w:val="num" w:pos="6480"/>
        </w:tabs>
        <w:ind w:left="6480" w:hanging="360"/>
      </w:pPr>
    </w:lvl>
  </w:abstractNum>
  <w:abstractNum w:abstractNumId="7" w15:restartNumberingAfterBreak="0">
    <w:nsid w:val="0D1355CC"/>
    <w:multiLevelType w:val="hybridMultilevel"/>
    <w:tmpl w:val="55F8926E"/>
    <w:lvl w:ilvl="0" w:tplc="0BECB2D4">
      <w:start w:val="1"/>
      <w:numFmt w:val="decimal"/>
      <w:lvlText w:val="%1."/>
      <w:lvlJc w:val="left"/>
      <w:pPr>
        <w:tabs>
          <w:tab w:val="num" w:pos="720"/>
        </w:tabs>
        <w:ind w:left="720" w:hanging="360"/>
      </w:pPr>
    </w:lvl>
    <w:lvl w:ilvl="1" w:tplc="E9B2F0CE" w:tentative="1">
      <w:start w:val="1"/>
      <w:numFmt w:val="decimal"/>
      <w:lvlText w:val="%2."/>
      <w:lvlJc w:val="left"/>
      <w:pPr>
        <w:tabs>
          <w:tab w:val="num" w:pos="1440"/>
        </w:tabs>
        <w:ind w:left="1440" w:hanging="360"/>
      </w:pPr>
    </w:lvl>
    <w:lvl w:ilvl="2" w:tplc="AB94E65E" w:tentative="1">
      <w:start w:val="1"/>
      <w:numFmt w:val="decimal"/>
      <w:lvlText w:val="%3."/>
      <w:lvlJc w:val="left"/>
      <w:pPr>
        <w:tabs>
          <w:tab w:val="num" w:pos="2160"/>
        </w:tabs>
        <w:ind w:left="2160" w:hanging="360"/>
      </w:pPr>
    </w:lvl>
    <w:lvl w:ilvl="3" w:tplc="605E9178" w:tentative="1">
      <w:start w:val="1"/>
      <w:numFmt w:val="decimal"/>
      <w:lvlText w:val="%4."/>
      <w:lvlJc w:val="left"/>
      <w:pPr>
        <w:tabs>
          <w:tab w:val="num" w:pos="2880"/>
        </w:tabs>
        <w:ind w:left="2880" w:hanging="360"/>
      </w:pPr>
    </w:lvl>
    <w:lvl w:ilvl="4" w:tplc="1C0EB3BC" w:tentative="1">
      <w:start w:val="1"/>
      <w:numFmt w:val="decimal"/>
      <w:lvlText w:val="%5."/>
      <w:lvlJc w:val="left"/>
      <w:pPr>
        <w:tabs>
          <w:tab w:val="num" w:pos="3600"/>
        </w:tabs>
        <w:ind w:left="3600" w:hanging="360"/>
      </w:pPr>
    </w:lvl>
    <w:lvl w:ilvl="5" w:tplc="DC5A139E" w:tentative="1">
      <w:start w:val="1"/>
      <w:numFmt w:val="decimal"/>
      <w:lvlText w:val="%6."/>
      <w:lvlJc w:val="left"/>
      <w:pPr>
        <w:tabs>
          <w:tab w:val="num" w:pos="4320"/>
        </w:tabs>
        <w:ind w:left="4320" w:hanging="360"/>
      </w:pPr>
    </w:lvl>
    <w:lvl w:ilvl="6" w:tplc="F5D23BD4" w:tentative="1">
      <w:start w:val="1"/>
      <w:numFmt w:val="decimal"/>
      <w:lvlText w:val="%7."/>
      <w:lvlJc w:val="left"/>
      <w:pPr>
        <w:tabs>
          <w:tab w:val="num" w:pos="5040"/>
        </w:tabs>
        <w:ind w:left="5040" w:hanging="360"/>
      </w:pPr>
    </w:lvl>
    <w:lvl w:ilvl="7" w:tplc="81DE8E64" w:tentative="1">
      <w:start w:val="1"/>
      <w:numFmt w:val="decimal"/>
      <w:lvlText w:val="%8."/>
      <w:lvlJc w:val="left"/>
      <w:pPr>
        <w:tabs>
          <w:tab w:val="num" w:pos="5760"/>
        </w:tabs>
        <w:ind w:left="5760" w:hanging="360"/>
      </w:pPr>
    </w:lvl>
    <w:lvl w:ilvl="8" w:tplc="309ACFC4" w:tentative="1">
      <w:start w:val="1"/>
      <w:numFmt w:val="decimal"/>
      <w:lvlText w:val="%9."/>
      <w:lvlJc w:val="left"/>
      <w:pPr>
        <w:tabs>
          <w:tab w:val="num" w:pos="6480"/>
        </w:tabs>
        <w:ind w:left="6480" w:hanging="360"/>
      </w:pPr>
    </w:lvl>
  </w:abstractNum>
  <w:abstractNum w:abstractNumId="8" w15:restartNumberingAfterBreak="0">
    <w:nsid w:val="11CE4B9D"/>
    <w:multiLevelType w:val="hybridMultilevel"/>
    <w:tmpl w:val="25A22312"/>
    <w:lvl w:ilvl="0" w:tplc="EE002D34">
      <w:start w:val="1"/>
      <w:numFmt w:val="decimal"/>
      <w:lvlText w:val="%1."/>
      <w:lvlJc w:val="left"/>
      <w:pPr>
        <w:tabs>
          <w:tab w:val="num" w:pos="720"/>
        </w:tabs>
        <w:ind w:left="720" w:hanging="360"/>
      </w:pPr>
    </w:lvl>
    <w:lvl w:ilvl="1" w:tplc="A4D400D6" w:tentative="1">
      <w:start w:val="1"/>
      <w:numFmt w:val="decimal"/>
      <w:lvlText w:val="%2."/>
      <w:lvlJc w:val="left"/>
      <w:pPr>
        <w:tabs>
          <w:tab w:val="num" w:pos="1440"/>
        </w:tabs>
        <w:ind w:left="1440" w:hanging="360"/>
      </w:pPr>
    </w:lvl>
    <w:lvl w:ilvl="2" w:tplc="5AAE3308" w:tentative="1">
      <w:start w:val="1"/>
      <w:numFmt w:val="decimal"/>
      <w:lvlText w:val="%3."/>
      <w:lvlJc w:val="left"/>
      <w:pPr>
        <w:tabs>
          <w:tab w:val="num" w:pos="2160"/>
        </w:tabs>
        <w:ind w:left="2160" w:hanging="360"/>
      </w:pPr>
    </w:lvl>
    <w:lvl w:ilvl="3" w:tplc="0204A2CC" w:tentative="1">
      <w:start w:val="1"/>
      <w:numFmt w:val="decimal"/>
      <w:lvlText w:val="%4."/>
      <w:lvlJc w:val="left"/>
      <w:pPr>
        <w:tabs>
          <w:tab w:val="num" w:pos="2880"/>
        </w:tabs>
        <w:ind w:left="2880" w:hanging="360"/>
      </w:pPr>
    </w:lvl>
    <w:lvl w:ilvl="4" w:tplc="EA30B582" w:tentative="1">
      <w:start w:val="1"/>
      <w:numFmt w:val="decimal"/>
      <w:lvlText w:val="%5."/>
      <w:lvlJc w:val="left"/>
      <w:pPr>
        <w:tabs>
          <w:tab w:val="num" w:pos="3600"/>
        </w:tabs>
        <w:ind w:left="3600" w:hanging="360"/>
      </w:pPr>
    </w:lvl>
    <w:lvl w:ilvl="5" w:tplc="B8A08AE4" w:tentative="1">
      <w:start w:val="1"/>
      <w:numFmt w:val="decimal"/>
      <w:lvlText w:val="%6."/>
      <w:lvlJc w:val="left"/>
      <w:pPr>
        <w:tabs>
          <w:tab w:val="num" w:pos="4320"/>
        </w:tabs>
        <w:ind w:left="4320" w:hanging="360"/>
      </w:pPr>
    </w:lvl>
    <w:lvl w:ilvl="6" w:tplc="C952DBC8" w:tentative="1">
      <w:start w:val="1"/>
      <w:numFmt w:val="decimal"/>
      <w:lvlText w:val="%7."/>
      <w:lvlJc w:val="left"/>
      <w:pPr>
        <w:tabs>
          <w:tab w:val="num" w:pos="5040"/>
        </w:tabs>
        <w:ind w:left="5040" w:hanging="360"/>
      </w:pPr>
    </w:lvl>
    <w:lvl w:ilvl="7" w:tplc="05E6AC4E" w:tentative="1">
      <w:start w:val="1"/>
      <w:numFmt w:val="decimal"/>
      <w:lvlText w:val="%8."/>
      <w:lvlJc w:val="left"/>
      <w:pPr>
        <w:tabs>
          <w:tab w:val="num" w:pos="5760"/>
        </w:tabs>
        <w:ind w:left="5760" w:hanging="360"/>
      </w:pPr>
    </w:lvl>
    <w:lvl w:ilvl="8" w:tplc="AECC7D20" w:tentative="1">
      <w:start w:val="1"/>
      <w:numFmt w:val="decimal"/>
      <w:lvlText w:val="%9."/>
      <w:lvlJc w:val="left"/>
      <w:pPr>
        <w:tabs>
          <w:tab w:val="num" w:pos="6480"/>
        </w:tabs>
        <w:ind w:left="6480" w:hanging="360"/>
      </w:pPr>
    </w:lvl>
  </w:abstractNum>
  <w:abstractNum w:abstractNumId="9" w15:restartNumberingAfterBreak="0">
    <w:nsid w:val="124061C6"/>
    <w:multiLevelType w:val="hybridMultilevel"/>
    <w:tmpl w:val="44221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7E09FE"/>
    <w:multiLevelType w:val="hybridMultilevel"/>
    <w:tmpl w:val="B30EC4F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57417"/>
    <w:multiLevelType w:val="hybridMultilevel"/>
    <w:tmpl w:val="D01652BC"/>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6" w15:restartNumberingAfterBreak="0">
    <w:nsid w:val="38392CA0"/>
    <w:multiLevelType w:val="hybridMultilevel"/>
    <w:tmpl w:val="69380588"/>
    <w:lvl w:ilvl="0" w:tplc="59A21A12">
      <w:start w:val="1"/>
      <w:numFmt w:val="bullet"/>
      <w:lvlText w:val="-"/>
      <w:lvlJc w:val="left"/>
      <w:pPr>
        <w:ind w:left="2061" w:hanging="360"/>
      </w:pPr>
      <w:rPr>
        <w:rFonts w:ascii="Times New Roman" w:eastAsia="Times New Roman"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7" w15:restartNumberingAfterBreak="0">
    <w:nsid w:val="3AA46647"/>
    <w:multiLevelType w:val="hybridMultilevel"/>
    <w:tmpl w:val="144E60DC"/>
    <w:lvl w:ilvl="0" w:tplc="0409000F">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95DA5"/>
    <w:multiLevelType w:val="hybridMultilevel"/>
    <w:tmpl w:val="6B14594A"/>
    <w:lvl w:ilvl="0" w:tplc="00B46504">
      <w:start w:val="2"/>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92713C"/>
    <w:multiLevelType w:val="hybridMultilevel"/>
    <w:tmpl w:val="BA1AFEC6"/>
    <w:lvl w:ilvl="0" w:tplc="A6406FC0">
      <w:start w:val="1"/>
      <w:numFmt w:val="decimal"/>
      <w:lvlText w:val="%1."/>
      <w:lvlJc w:val="left"/>
      <w:pPr>
        <w:tabs>
          <w:tab w:val="num" w:pos="720"/>
        </w:tabs>
        <w:ind w:left="720" w:hanging="360"/>
      </w:pPr>
    </w:lvl>
    <w:lvl w:ilvl="1" w:tplc="81725280" w:tentative="1">
      <w:start w:val="1"/>
      <w:numFmt w:val="decimal"/>
      <w:lvlText w:val="%2."/>
      <w:lvlJc w:val="left"/>
      <w:pPr>
        <w:tabs>
          <w:tab w:val="num" w:pos="1440"/>
        </w:tabs>
        <w:ind w:left="1440" w:hanging="360"/>
      </w:pPr>
    </w:lvl>
    <w:lvl w:ilvl="2" w:tplc="67F6AA7A" w:tentative="1">
      <w:start w:val="1"/>
      <w:numFmt w:val="decimal"/>
      <w:lvlText w:val="%3."/>
      <w:lvlJc w:val="left"/>
      <w:pPr>
        <w:tabs>
          <w:tab w:val="num" w:pos="2160"/>
        </w:tabs>
        <w:ind w:left="2160" w:hanging="360"/>
      </w:pPr>
    </w:lvl>
    <w:lvl w:ilvl="3" w:tplc="79345A04" w:tentative="1">
      <w:start w:val="1"/>
      <w:numFmt w:val="decimal"/>
      <w:lvlText w:val="%4."/>
      <w:lvlJc w:val="left"/>
      <w:pPr>
        <w:tabs>
          <w:tab w:val="num" w:pos="2880"/>
        </w:tabs>
        <w:ind w:left="2880" w:hanging="360"/>
      </w:pPr>
    </w:lvl>
    <w:lvl w:ilvl="4" w:tplc="CAB88E96" w:tentative="1">
      <w:start w:val="1"/>
      <w:numFmt w:val="decimal"/>
      <w:lvlText w:val="%5."/>
      <w:lvlJc w:val="left"/>
      <w:pPr>
        <w:tabs>
          <w:tab w:val="num" w:pos="3600"/>
        </w:tabs>
        <w:ind w:left="3600" w:hanging="360"/>
      </w:pPr>
    </w:lvl>
    <w:lvl w:ilvl="5" w:tplc="AA5629F6" w:tentative="1">
      <w:start w:val="1"/>
      <w:numFmt w:val="decimal"/>
      <w:lvlText w:val="%6."/>
      <w:lvlJc w:val="left"/>
      <w:pPr>
        <w:tabs>
          <w:tab w:val="num" w:pos="4320"/>
        </w:tabs>
        <w:ind w:left="4320" w:hanging="360"/>
      </w:pPr>
    </w:lvl>
    <w:lvl w:ilvl="6" w:tplc="2D2E991C" w:tentative="1">
      <w:start w:val="1"/>
      <w:numFmt w:val="decimal"/>
      <w:lvlText w:val="%7."/>
      <w:lvlJc w:val="left"/>
      <w:pPr>
        <w:tabs>
          <w:tab w:val="num" w:pos="5040"/>
        </w:tabs>
        <w:ind w:left="5040" w:hanging="360"/>
      </w:pPr>
    </w:lvl>
    <w:lvl w:ilvl="7" w:tplc="3F201CB6" w:tentative="1">
      <w:start w:val="1"/>
      <w:numFmt w:val="decimal"/>
      <w:lvlText w:val="%8."/>
      <w:lvlJc w:val="left"/>
      <w:pPr>
        <w:tabs>
          <w:tab w:val="num" w:pos="5760"/>
        </w:tabs>
        <w:ind w:left="5760" w:hanging="360"/>
      </w:pPr>
    </w:lvl>
    <w:lvl w:ilvl="8" w:tplc="F9D4E69A" w:tentative="1">
      <w:start w:val="1"/>
      <w:numFmt w:val="decimal"/>
      <w:lvlText w:val="%9."/>
      <w:lvlJc w:val="left"/>
      <w:pPr>
        <w:tabs>
          <w:tab w:val="num" w:pos="6480"/>
        </w:tabs>
        <w:ind w:left="6480" w:hanging="360"/>
      </w:pPr>
    </w:lvl>
  </w:abstractNum>
  <w:num w:numId="1">
    <w:abstractNumId w:val="4"/>
  </w:num>
  <w:num w:numId="2">
    <w:abstractNumId w:val="20"/>
  </w:num>
  <w:num w:numId="3">
    <w:abstractNumId w:val="17"/>
  </w:num>
  <w:num w:numId="4">
    <w:abstractNumId w:val="18"/>
  </w:num>
  <w:num w:numId="5">
    <w:abstractNumId w:val="13"/>
  </w:num>
  <w:num w:numId="6">
    <w:abstractNumId w:val="19"/>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9"/>
  </w:num>
  <w:num w:numId="18">
    <w:abstractNumId w:val="6"/>
  </w:num>
  <w:num w:numId="19">
    <w:abstractNumId w:val="16"/>
  </w:num>
  <w:num w:numId="20">
    <w:abstractNumId w:val="7"/>
  </w:num>
  <w:num w:numId="21">
    <w:abstractNumId w:val="8"/>
  </w:num>
  <w:num w:numId="22">
    <w:abstractNumId w:val="24"/>
  </w:num>
  <w:num w:numId="23">
    <w:abstractNumId w:val="11"/>
    <w:lvlOverride w:ilvl="0">
      <w:startOverride w:val="1"/>
    </w:lvlOverride>
  </w:num>
  <w:num w:numId="24">
    <w:abstractNumId w:val="5"/>
  </w:num>
  <w:num w:numId="25">
    <w:abstractNumId w:val="15"/>
  </w:num>
  <w:num w:numId="26">
    <w:abstractNumId w:val="22"/>
  </w:num>
  <w:num w:numId="27">
    <w:abstractNumId w:val="17"/>
    <w:lvlOverride w:ilvl="0">
      <w:startOverride w:val="1"/>
    </w:lvlOverride>
  </w:num>
  <w:num w:numId="2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B0A"/>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4F2"/>
    <w:rsid w:val="000616E7"/>
    <w:rsid w:val="0006487E"/>
    <w:rsid w:val="00065E1A"/>
    <w:rsid w:val="00067C6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DE5"/>
    <w:rsid w:val="001062FB"/>
    <w:rsid w:val="001063E6"/>
    <w:rsid w:val="00113CF4"/>
    <w:rsid w:val="001153EA"/>
    <w:rsid w:val="00115643"/>
    <w:rsid w:val="00116765"/>
    <w:rsid w:val="001219F5"/>
    <w:rsid w:val="00121A20"/>
    <w:rsid w:val="0012377F"/>
    <w:rsid w:val="00124314"/>
    <w:rsid w:val="00126B4A"/>
    <w:rsid w:val="00132FD0"/>
    <w:rsid w:val="001333E0"/>
    <w:rsid w:val="001344C0"/>
    <w:rsid w:val="001346FA"/>
    <w:rsid w:val="00135252"/>
    <w:rsid w:val="00137AB5"/>
    <w:rsid w:val="00137F0B"/>
    <w:rsid w:val="00151E23"/>
    <w:rsid w:val="001521A7"/>
    <w:rsid w:val="001526E0"/>
    <w:rsid w:val="001551B5"/>
    <w:rsid w:val="001659C1"/>
    <w:rsid w:val="00173A8E"/>
    <w:rsid w:val="00177795"/>
    <w:rsid w:val="00180DFD"/>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87D"/>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22B"/>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887"/>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41A0"/>
    <w:rsid w:val="0040512B"/>
    <w:rsid w:val="00405CA5"/>
    <w:rsid w:val="00407CD3"/>
    <w:rsid w:val="00410134"/>
    <w:rsid w:val="00410B72"/>
    <w:rsid w:val="00410F18"/>
    <w:rsid w:val="0041263E"/>
    <w:rsid w:val="00413AAC"/>
    <w:rsid w:val="00416E4B"/>
    <w:rsid w:val="00421105"/>
    <w:rsid w:val="004242F4"/>
    <w:rsid w:val="00427248"/>
    <w:rsid w:val="00437447"/>
    <w:rsid w:val="00441A92"/>
    <w:rsid w:val="00444F56"/>
    <w:rsid w:val="00446488"/>
    <w:rsid w:val="00447DC9"/>
    <w:rsid w:val="004517AA"/>
    <w:rsid w:val="00452CAC"/>
    <w:rsid w:val="00457565"/>
    <w:rsid w:val="00457B71"/>
    <w:rsid w:val="004669E2"/>
    <w:rsid w:val="00470C31"/>
    <w:rsid w:val="004734D0"/>
    <w:rsid w:val="0047556B"/>
    <w:rsid w:val="00477768"/>
    <w:rsid w:val="00492BC5"/>
    <w:rsid w:val="004964F1"/>
    <w:rsid w:val="004A16BC"/>
    <w:rsid w:val="004A2B94"/>
    <w:rsid w:val="004A5AD5"/>
    <w:rsid w:val="004B7C0C"/>
    <w:rsid w:val="004C3898"/>
    <w:rsid w:val="004D36B1"/>
    <w:rsid w:val="004D7EBD"/>
    <w:rsid w:val="004E01E0"/>
    <w:rsid w:val="004E2680"/>
    <w:rsid w:val="004E28F4"/>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8F9"/>
    <w:rsid w:val="00554E19"/>
    <w:rsid w:val="0056121F"/>
    <w:rsid w:val="00572505"/>
    <w:rsid w:val="00574C3C"/>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232"/>
    <w:rsid w:val="005E385F"/>
    <w:rsid w:val="005E5B81"/>
    <w:rsid w:val="005F2CB1"/>
    <w:rsid w:val="005F3025"/>
    <w:rsid w:val="005F618C"/>
    <w:rsid w:val="005F6C57"/>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BCA"/>
    <w:rsid w:val="00667EE7"/>
    <w:rsid w:val="00670922"/>
    <w:rsid w:val="00670BE1"/>
    <w:rsid w:val="0067218F"/>
    <w:rsid w:val="006741F2"/>
    <w:rsid w:val="00674CC3"/>
    <w:rsid w:val="00675C72"/>
    <w:rsid w:val="006771F9"/>
    <w:rsid w:val="006776D7"/>
    <w:rsid w:val="00680FB1"/>
    <w:rsid w:val="00681003"/>
    <w:rsid w:val="006817C9"/>
    <w:rsid w:val="00683ECE"/>
    <w:rsid w:val="00695FC2"/>
    <w:rsid w:val="00696949"/>
    <w:rsid w:val="00697052"/>
    <w:rsid w:val="006A00E4"/>
    <w:rsid w:val="006A46FB"/>
    <w:rsid w:val="006A5E28"/>
    <w:rsid w:val="006A697B"/>
    <w:rsid w:val="006A7AFF"/>
    <w:rsid w:val="006B1816"/>
    <w:rsid w:val="006B2099"/>
    <w:rsid w:val="006B50CF"/>
    <w:rsid w:val="006B5B0F"/>
    <w:rsid w:val="006C03B8"/>
    <w:rsid w:val="006C271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944"/>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C6D"/>
    <w:rsid w:val="00827D6F"/>
    <w:rsid w:val="008376AC"/>
    <w:rsid w:val="008444E8"/>
    <w:rsid w:val="00844E80"/>
    <w:rsid w:val="00846FE7"/>
    <w:rsid w:val="00856911"/>
    <w:rsid w:val="008677FD"/>
    <w:rsid w:val="0086785A"/>
    <w:rsid w:val="008706D4"/>
    <w:rsid w:val="00870F8A"/>
    <w:rsid w:val="008719A4"/>
    <w:rsid w:val="00871D23"/>
    <w:rsid w:val="0087275A"/>
    <w:rsid w:val="00874312"/>
    <w:rsid w:val="0087437C"/>
    <w:rsid w:val="00875CD7"/>
    <w:rsid w:val="00876B4D"/>
    <w:rsid w:val="00877F18"/>
    <w:rsid w:val="00894A88"/>
    <w:rsid w:val="00895386"/>
    <w:rsid w:val="008A21FF"/>
    <w:rsid w:val="008A299A"/>
    <w:rsid w:val="008A2CE2"/>
    <w:rsid w:val="008A30AC"/>
    <w:rsid w:val="008A3BAD"/>
    <w:rsid w:val="008A44B8"/>
    <w:rsid w:val="008A51A8"/>
    <w:rsid w:val="008A54C7"/>
    <w:rsid w:val="008A77D8"/>
    <w:rsid w:val="008B0483"/>
    <w:rsid w:val="008B120C"/>
    <w:rsid w:val="008B2BF7"/>
    <w:rsid w:val="008B51A0"/>
    <w:rsid w:val="008B592A"/>
    <w:rsid w:val="008B7B5C"/>
    <w:rsid w:val="008C0C99"/>
    <w:rsid w:val="008C2017"/>
    <w:rsid w:val="008C4958"/>
    <w:rsid w:val="008C4BAA"/>
    <w:rsid w:val="008C6AE8"/>
    <w:rsid w:val="008C7573"/>
    <w:rsid w:val="008D34F1"/>
    <w:rsid w:val="008D39D8"/>
    <w:rsid w:val="008D668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EA3"/>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4E33"/>
    <w:rsid w:val="009960EC"/>
    <w:rsid w:val="009970DD"/>
    <w:rsid w:val="009A0FBA"/>
    <w:rsid w:val="009A1601"/>
    <w:rsid w:val="009A462D"/>
    <w:rsid w:val="009A5CBA"/>
    <w:rsid w:val="009B1F30"/>
    <w:rsid w:val="009B2FFF"/>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517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7D9"/>
    <w:rsid w:val="00A87A8A"/>
    <w:rsid w:val="00A92879"/>
    <w:rsid w:val="00A9442A"/>
    <w:rsid w:val="00AA016F"/>
    <w:rsid w:val="00AA1ED6"/>
    <w:rsid w:val="00AA51D6"/>
    <w:rsid w:val="00AB0BC8"/>
    <w:rsid w:val="00AB11CA"/>
    <w:rsid w:val="00AB14D9"/>
    <w:rsid w:val="00AB3526"/>
    <w:rsid w:val="00AB4AB8"/>
    <w:rsid w:val="00AB655E"/>
    <w:rsid w:val="00AC007F"/>
    <w:rsid w:val="00AC2ECD"/>
    <w:rsid w:val="00AC3119"/>
    <w:rsid w:val="00AC3168"/>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0D1C"/>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1CB5"/>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B5D25"/>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E93"/>
    <w:rsid w:val="00C07377"/>
    <w:rsid w:val="00C10478"/>
    <w:rsid w:val="00C12107"/>
    <w:rsid w:val="00C14D4B"/>
    <w:rsid w:val="00C154BB"/>
    <w:rsid w:val="00C279B5"/>
    <w:rsid w:val="00C27C45"/>
    <w:rsid w:val="00C3719D"/>
    <w:rsid w:val="00C54995"/>
    <w:rsid w:val="00C54D41"/>
    <w:rsid w:val="00C60783"/>
    <w:rsid w:val="00C64672"/>
    <w:rsid w:val="00C6615A"/>
    <w:rsid w:val="00C70697"/>
    <w:rsid w:val="00C72EF4"/>
    <w:rsid w:val="00C75D2F"/>
    <w:rsid w:val="00C767BE"/>
    <w:rsid w:val="00C76E3C"/>
    <w:rsid w:val="00C81568"/>
    <w:rsid w:val="00C9027A"/>
    <w:rsid w:val="00C9068E"/>
    <w:rsid w:val="00C93C4B"/>
    <w:rsid w:val="00C944AB"/>
    <w:rsid w:val="00C94614"/>
    <w:rsid w:val="00C95B40"/>
    <w:rsid w:val="00CA1ED8"/>
    <w:rsid w:val="00CA2C6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98F"/>
    <w:rsid w:val="00CF625B"/>
    <w:rsid w:val="00CF687E"/>
    <w:rsid w:val="00D0349B"/>
    <w:rsid w:val="00D10249"/>
    <w:rsid w:val="00D115C3"/>
    <w:rsid w:val="00D11897"/>
    <w:rsid w:val="00D13135"/>
    <w:rsid w:val="00D13E4E"/>
    <w:rsid w:val="00D239A7"/>
    <w:rsid w:val="00D23F47"/>
    <w:rsid w:val="00D321CB"/>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4A45"/>
    <w:rsid w:val="00D86CA3"/>
    <w:rsid w:val="00D871CE"/>
    <w:rsid w:val="00D9196D"/>
    <w:rsid w:val="00D92982"/>
    <w:rsid w:val="00DA305E"/>
    <w:rsid w:val="00DA5417"/>
    <w:rsid w:val="00DA56E8"/>
    <w:rsid w:val="00DB0A9F"/>
    <w:rsid w:val="00DB377D"/>
    <w:rsid w:val="00DC2D36"/>
    <w:rsid w:val="00DC53EF"/>
    <w:rsid w:val="00DD5387"/>
    <w:rsid w:val="00DE5608"/>
    <w:rsid w:val="00DE58D0"/>
    <w:rsid w:val="00DE654F"/>
    <w:rsid w:val="00DF0B6E"/>
    <w:rsid w:val="00DF15E0"/>
    <w:rsid w:val="00DF37A0"/>
    <w:rsid w:val="00DF71A0"/>
    <w:rsid w:val="00E04FB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7F6"/>
    <w:rsid w:val="00FD1EC8"/>
    <w:rsid w:val="00FD47ED"/>
    <w:rsid w:val="00FD74DB"/>
    <w:rsid w:val="00FD7660"/>
    <w:rsid w:val="00FE0655"/>
    <w:rsid w:val="00FE2365"/>
    <w:rsid w:val="00FE4C7B"/>
    <w:rsid w:val="00FE7336"/>
    <w:rsid w:val="00FE787C"/>
    <w:rsid w:val="00FF19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05CAB458-415B-4471-A0F5-CF18AC0B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rsid w:val="00D50F97"/>
    <w:p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tabs>
        <w:tab w:val="num" w:pos="360"/>
      </w:tabs>
      <w:ind w:left="0" w:firstLine="0"/>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styleId="ListParagraph">
    <w:name w:val="List Paragraph"/>
    <w:basedOn w:val="Normal"/>
    <w:uiPriority w:val="34"/>
    <w:qFormat/>
    <w:rsid w:val="008B2B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3146">
      <w:bodyDiv w:val="1"/>
      <w:marLeft w:val="0"/>
      <w:marRight w:val="0"/>
      <w:marTop w:val="0"/>
      <w:marBottom w:val="0"/>
      <w:divBdr>
        <w:top w:val="none" w:sz="0" w:space="0" w:color="auto"/>
        <w:left w:val="none" w:sz="0" w:space="0" w:color="auto"/>
        <w:bottom w:val="none" w:sz="0" w:space="0" w:color="auto"/>
        <w:right w:val="none" w:sz="0" w:space="0" w:color="auto"/>
      </w:divBdr>
      <w:divsChild>
        <w:div w:id="196551739">
          <w:marLeft w:val="720"/>
          <w:marRight w:val="0"/>
          <w:marTop w:val="72"/>
          <w:marBottom w:val="0"/>
          <w:divBdr>
            <w:top w:val="none" w:sz="0" w:space="0" w:color="auto"/>
            <w:left w:val="none" w:sz="0" w:space="0" w:color="auto"/>
            <w:bottom w:val="none" w:sz="0" w:space="0" w:color="auto"/>
            <w:right w:val="none" w:sz="0" w:space="0" w:color="auto"/>
          </w:divBdr>
        </w:div>
      </w:divsChild>
    </w:div>
    <w:div w:id="206649143">
      <w:bodyDiv w:val="1"/>
      <w:marLeft w:val="0"/>
      <w:marRight w:val="0"/>
      <w:marTop w:val="0"/>
      <w:marBottom w:val="0"/>
      <w:divBdr>
        <w:top w:val="none" w:sz="0" w:space="0" w:color="auto"/>
        <w:left w:val="none" w:sz="0" w:space="0" w:color="auto"/>
        <w:bottom w:val="none" w:sz="0" w:space="0" w:color="auto"/>
        <w:right w:val="none" w:sz="0" w:space="0" w:color="auto"/>
      </w:divBdr>
      <w:divsChild>
        <w:div w:id="271521777">
          <w:marLeft w:val="720"/>
          <w:marRight w:val="0"/>
          <w:marTop w:val="72"/>
          <w:marBottom w:val="0"/>
          <w:divBdr>
            <w:top w:val="none" w:sz="0" w:space="0" w:color="auto"/>
            <w:left w:val="none" w:sz="0" w:space="0" w:color="auto"/>
            <w:bottom w:val="none" w:sz="0" w:space="0" w:color="auto"/>
            <w:right w:val="none" w:sz="0" w:space="0" w:color="auto"/>
          </w:divBdr>
        </w:div>
      </w:divsChild>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741949320">
      <w:bodyDiv w:val="1"/>
      <w:marLeft w:val="0"/>
      <w:marRight w:val="0"/>
      <w:marTop w:val="0"/>
      <w:marBottom w:val="0"/>
      <w:divBdr>
        <w:top w:val="none" w:sz="0" w:space="0" w:color="auto"/>
        <w:left w:val="none" w:sz="0" w:space="0" w:color="auto"/>
        <w:bottom w:val="none" w:sz="0" w:space="0" w:color="auto"/>
        <w:right w:val="none" w:sz="0" w:space="0" w:color="auto"/>
      </w:divBdr>
    </w:div>
    <w:div w:id="1093823300">
      <w:bodyDiv w:val="1"/>
      <w:marLeft w:val="0"/>
      <w:marRight w:val="0"/>
      <w:marTop w:val="0"/>
      <w:marBottom w:val="0"/>
      <w:divBdr>
        <w:top w:val="none" w:sz="0" w:space="0" w:color="auto"/>
        <w:left w:val="none" w:sz="0" w:space="0" w:color="auto"/>
        <w:bottom w:val="none" w:sz="0" w:space="0" w:color="auto"/>
        <w:right w:val="none" w:sz="0" w:space="0" w:color="auto"/>
      </w:divBdr>
    </w:div>
    <w:div w:id="1105880999">
      <w:bodyDiv w:val="1"/>
      <w:marLeft w:val="0"/>
      <w:marRight w:val="0"/>
      <w:marTop w:val="0"/>
      <w:marBottom w:val="0"/>
      <w:divBdr>
        <w:top w:val="none" w:sz="0" w:space="0" w:color="auto"/>
        <w:left w:val="none" w:sz="0" w:space="0" w:color="auto"/>
        <w:bottom w:val="none" w:sz="0" w:space="0" w:color="auto"/>
        <w:right w:val="none" w:sz="0" w:space="0" w:color="auto"/>
      </w:divBdr>
      <w:divsChild>
        <w:div w:id="682706030">
          <w:marLeft w:val="720"/>
          <w:marRight w:val="0"/>
          <w:marTop w:val="72"/>
          <w:marBottom w:val="0"/>
          <w:divBdr>
            <w:top w:val="none" w:sz="0" w:space="0" w:color="auto"/>
            <w:left w:val="none" w:sz="0" w:space="0" w:color="auto"/>
            <w:bottom w:val="none" w:sz="0" w:space="0" w:color="auto"/>
            <w:right w:val="none" w:sz="0" w:space="0" w:color="auto"/>
          </w:divBdr>
        </w:div>
      </w:divsChild>
    </w:div>
    <w:div w:id="1481312846">
      <w:bodyDiv w:val="1"/>
      <w:marLeft w:val="0"/>
      <w:marRight w:val="0"/>
      <w:marTop w:val="0"/>
      <w:marBottom w:val="0"/>
      <w:divBdr>
        <w:top w:val="none" w:sz="0" w:space="0" w:color="auto"/>
        <w:left w:val="none" w:sz="0" w:space="0" w:color="auto"/>
        <w:bottom w:val="none" w:sz="0" w:space="0" w:color="auto"/>
        <w:right w:val="none" w:sz="0" w:space="0" w:color="auto"/>
      </w:divBdr>
      <w:divsChild>
        <w:div w:id="282201522">
          <w:marLeft w:val="720"/>
          <w:marRight w:val="0"/>
          <w:marTop w:val="72"/>
          <w:marBottom w:val="0"/>
          <w:divBdr>
            <w:top w:val="none" w:sz="0" w:space="0" w:color="auto"/>
            <w:left w:val="none" w:sz="0" w:space="0" w:color="auto"/>
            <w:bottom w:val="none" w:sz="0" w:space="0" w:color="auto"/>
            <w:right w:val="none" w:sz="0" w:space="0" w:color="auto"/>
          </w:divBdr>
        </w:div>
        <w:div w:id="904339536">
          <w:marLeft w:val="835"/>
          <w:marRight w:val="0"/>
          <w:marTop w:val="62"/>
          <w:marBottom w:val="0"/>
          <w:divBdr>
            <w:top w:val="none" w:sz="0" w:space="0" w:color="auto"/>
            <w:left w:val="none" w:sz="0" w:space="0" w:color="auto"/>
            <w:bottom w:val="none" w:sz="0" w:space="0" w:color="auto"/>
            <w:right w:val="none" w:sz="0" w:space="0" w:color="auto"/>
          </w:divBdr>
        </w:div>
        <w:div w:id="612400933">
          <w:marLeft w:val="835"/>
          <w:marRight w:val="0"/>
          <w:marTop w:val="62"/>
          <w:marBottom w:val="0"/>
          <w:divBdr>
            <w:top w:val="none" w:sz="0" w:space="0" w:color="auto"/>
            <w:left w:val="none" w:sz="0" w:space="0" w:color="auto"/>
            <w:bottom w:val="none" w:sz="0" w:space="0" w:color="auto"/>
            <w:right w:val="none" w:sz="0" w:space="0" w:color="auto"/>
          </w:divBdr>
        </w:div>
      </w:divsChild>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5NUHHDQN7SK2-1-181211</_dlc_DocId>
    <_dlc_DocIdUrl xmlns="08b2df90-05d3-4030-90d4-c9feeb4a1cd9">
      <Url>https://ericoll.internal.ericsson.com/sites/star/_layouts/DocIdRedir.aspx?ID=5NUHHDQN7SK2-1-181211</Url>
      <Description>5NUHHDQN7SK2-1-181211</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2.xml><?xml version="1.0" encoding="utf-8"?>
<ds:datastoreItem xmlns:ds="http://schemas.openxmlformats.org/officeDocument/2006/customXml" ds:itemID="{A0E73EB0-7BDE-46CB-A0F3-8F060521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B2A8B4-10CC-4064-85A3-03E9E156841F}">
  <ds:schemaRefs>
    <ds:schemaRef ds:uri="http://schemas.microsoft.com/sharepoint/events"/>
  </ds:schemaRefs>
</ds:datastoreItem>
</file>

<file path=customXml/itemProps4.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5.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7F131872-8283-4607-B02E-AA48976C03F6}">
  <ds:schemaRefs>
    <ds:schemaRef ds:uri="Microsoft.SharePoint.Taxonomy.ContentTypeSync"/>
  </ds:schemaRefs>
</ds:datastoreItem>
</file>

<file path=customXml/itemProps7.xml><?xml version="1.0" encoding="utf-8"?>
<ds:datastoreItem xmlns:ds="http://schemas.openxmlformats.org/officeDocument/2006/customXml" ds:itemID="{2712F3AF-8262-4047-834D-F3281A6A3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5</Pages>
  <Words>1852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Mattias Frenne</cp:lastModifiedBy>
  <cp:revision>2</cp:revision>
  <cp:lastPrinted>2008-01-31T07:09:00Z</cp:lastPrinted>
  <dcterms:created xsi:type="dcterms:W3CDTF">2017-09-10T14:14:00Z</dcterms:created>
  <dcterms:modified xsi:type="dcterms:W3CDTF">2017-09-10T14:14:00Z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d9a961e0-c69c-4024-8448-4ee64fe60580</vt:lpwstr>
  </property>
</Properties>
</file>